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color w:val="auto"/>
          <w:sz w:val="44"/>
          <w:szCs w:val="44"/>
        </w:rPr>
      </w:pPr>
      <w:bookmarkStart w:id="0" w:name="_Toc17707"/>
    </w:p>
    <w:p>
      <w:pPr>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b/>
          <w:color w:val="auto"/>
          <w:sz w:val="44"/>
          <w:szCs w:val="44"/>
        </w:rPr>
        <w:drawing>
          <wp:anchor distT="0" distB="0" distL="114300" distR="114300" simplePos="0" relativeHeight="251659264" behindDoc="0" locked="0" layoutInCell="1" allowOverlap="1">
            <wp:simplePos x="0" y="0"/>
            <wp:positionH relativeFrom="page">
              <wp:posOffset>-167005</wp:posOffset>
            </wp:positionH>
            <wp:positionV relativeFrom="page">
              <wp:posOffset>-1270</wp:posOffset>
            </wp:positionV>
            <wp:extent cx="7919720" cy="2872740"/>
            <wp:effectExtent l="19050" t="0" r="5080" b="0"/>
            <wp:wrapSquare wrapText="bothSides"/>
            <wp:docPr id="2" name="图片 2" descr="D02-L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2-L [Converted]"/>
                    <pic:cNvPicPr>
                      <a:picLocks noChangeAspect="1" noChangeArrowheads="1"/>
                    </pic:cNvPicPr>
                  </pic:nvPicPr>
                  <pic:blipFill>
                    <a:blip r:embed="rId6" cstate="print"/>
                    <a:srcRect b="54234"/>
                    <a:stretch>
                      <a:fillRect/>
                    </a:stretch>
                  </pic:blipFill>
                  <pic:spPr>
                    <a:xfrm>
                      <a:off x="0" y="0"/>
                      <a:ext cx="7919720" cy="2872740"/>
                    </a:xfrm>
                    <a:prstGeom prst="rect">
                      <a:avLst/>
                    </a:prstGeom>
                    <a:noFill/>
                    <a:ln w="9525" cmpd="sng">
                      <a:noFill/>
                      <a:miter lim="800000"/>
                      <a:headEnd/>
                      <a:tailEnd/>
                    </a:ln>
                  </pic:spPr>
                </pic:pic>
              </a:graphicData>
            </a:graphic>
          </wp:anchor>
        </w:drawing>
      </w:r>
    </w:p>
    <w:p>
      <w:pPr>
        <w:jc w:val="center"/>
        <w:rPr>
          <w:rFonts w:ascii="方正小标宋_GBK" w:hAnsi="方正小标宋_GBK" w:eastAsia="方正小标宋_GBK" w:cs="方正小标宋_GBK"/>
          <w:color w:val="auto"/>
          <w:sz w:val="44"/>
          <w:szCs w:val="44"/>
        </w:rPr>
      </w:pPr>
    </w:p>
    <w:p>
      <w:pPr>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南山供电局公用配电房验收规范（试行）</w:t>
      </w:r>
    </w:p>
    <w:p>
      <w:pPr>
        <w:pStyle w:val="25"/>
        <w:jc w:val="both"/>
        <w:rPr>
          <w:color w:val="auto"/>
          <w:sz w:val="30"/>
        </w:rPr>
      </w:pPr>
    </w:p>
    <w:p>
      <w:pPr>
        <w:pStyle w:val="24"/>
        <w:ind w:firstLine="600"/>
        <w:rPr>
          <w:rFonts w:ascii="黑体" w:eastAsia="黑体"/>
          <w:color w:val="auto"/>
          <w:sz w:val="30"/>
        </w:rPr>
      </w:pPr>
    </w:p>
    <w:p>
      <w:pPr>
        <w:pStyle w:val="24"/>
        <w:ind w:firstLine="600"/>
        <w:rPr>
          <w:rFonts w:ascii="黑体" w:eastAsia="黑体"/>
          <w:color w:val="auto"/>
          <w:sz w:val="30"/>
        </w:rPr>
      </w:pPr>
    </w:p>
    <w:p>
      <w:pPr>
        <w:pStyle w:val="24"/>
        <w:ind w:firstLine="600"/>
        <w:rPr>
          <w:rFonts w:ascii="黑体" w:eastAsia="黑体"/>
          <w:color w:val="auto"/>
          <w:sz w:val="30"/>
        </w:rPr>
      </w:pPr>
    </w:p>
    <w:p>
      <w:pPr>
        <w:pStyle w:val="24"/>
        <w:ind w:firstLine="600"/>
        <w:rPr>
          <w:rFonts w:ascii="黑体" w:eastAsia="黑体"/>
          <w:color w:val="auto"/>
          <w:sz w:val="30"/>
        </w:rPr>
      </w:pPr>
    </w:p>
    <w:p>
      <w:pPr>
        <w:pStyle w:val="24"/>
        <w:ind w:firstLine="600"/>
        <w:rPr>
          <w:rFonts w:ascii="黑体" w:eastAsia="黑体"/>
          <w:color w:val="auto"/>
          <w:sz w:val="30"/>
        </w:rPr>
      </w:pPr>
    </w:p>
    <w:p>
      <w:pPr>
        <w:pStyle w:val="25"/>
        <w:jc w:val="both"/>
        <w:rPr>
          <w:rFonts w:hint="eastAsia" w:eastAsia="黑体"/>
          <w:color w:val="auto"/>
          <w:sz w:val="30"/>
          <w:lang w:eastAsia="zh-CN"/>
        </w:rPr>
      </w:pPr>
    </w:p>
    <w:p>
      <w:pPr>
        <w:spacing w:line="560" w:lineRule="exact"/>
        <w:jc w:val="center"/>
        <w:rPr>
          <w:rFonts w:ascii="宋体" w:hAnsi="宋体" w:eastAsia="宋体" w:cs="宋体"/>
          <w:color w:val="auto"/>
          <w:sz w:val="32"/>
          <w:szCs w:val="32"/>
        </w:rPr>
      </w:pPr>
      <w:r>
        <w:rPr>
          <w:rFonts w:hint="eastAsia" w:ascii="宋体" w:hAnsi="宋体" w:eastAsia="宋体" w:cs="宋体"/>
          <w:color w:val="auto"/>
          <w:sz w:val="32"/>
          <w:szCs w:val="32"/>
        </w:rPr>
        <w:t>南山供电局</w:t>
      </w:r>
    </w:p>
    <w:p>
      <w:pPr>
        <w:widowControl/>
        <w:autoSpaceDE w:val="0"/>
        <w:autoSpaceDN w:val="0"/>
        <w:spacing w:line="560" w:lineRule="exact"/>
        <w:jc w:val="center"/>
        <w:textAlignment w:val="bottom"/>
        <w:rPr>
          <w:rFonts w:ascii="宋体" w:hAnsi="宋体" w:eastAsia="宋体" w:cs="宋体"/>
          <w:color w:val="auto"/>
          <w:sz w:val="30"/>
        </w:rPr>
        <w:sectPr>
          <w:headerReference r:id="rId3" w:type="default"/>
          <w:footerReference r:id="rId4" w:type="even"/>
          <w:pgSz w:w="11907" w:h="16840"/>
          <w:pgMar w:top="1985" w:right="1361" w:bottom="1899" w:left="1418" w:header="851" w:footer="851" w:gutter="0"/>
          <w:pgNumType w:start="1"/>
          <w:cols w:space="720" w:num="1"/>
          <w:docGrid w:linePitch="380" w:charSpace="0"/>
        </w:sectPr>
      </w:pPr>
      <w:r>
        <w:rPr>
          <w:rFonts w:hint="eastAsia" w:ascii="宋体" w:hAnsi="宋体" w:eastAsia="宋体" w:cs="宋体"/>
          <w:color w:val="auto"/>
          <w:sz w:val="32"/>
          <w:szCs w:val="32"/>
        </w:rPr>
        <w:t>二〇二</w:t>
      </w:r>
      <w:r>
        <w:rPr>
          <w:rFonts w:hint="eastAsia" w:ascii="宋体" w:hAnsi="宋体" w:eastAsia="宋体" w:cs="宋体"/>
          <w:color w:val="auto"/>
          <w:sz w:val="32"/>
          <w:szCs w:val="32"/>
          <w:lang w:val="en-US" w:eastAsia="zh-CN"/>
        </w:rPr>
        <w:t>三</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七</w:t>
      </w:r>
      <w:r>
        <w:rPr>
          <w:rFonts w:hint="eastAsia" w:ascii="宋体" w:hAnsi="宋体" w:eastAsia="宋体" w:cs="宋体"/>
          <w:color w:val="auto"/>
          <w:sz w:val="32"/>
          <w:szCs w:val="32"/>
        </w:rPr>
        <w:t>月</w:t>
      </w:r>
    </w:p>
    <w:p>
      <w:pPr>
        <w:adjustRightInd w:val="0"/>
        <w:snapToGrid w:val="0"/>
        <w:spacing w:line="560" w:lineRule="exact"/>
        <w:jc w:val="center"/>
        <w:outlineLvl w:val="0"/>
        <w:rPr>
          <w:rFonts w:ascii="宋体" w:hAnsi="宋体" w:eastAsia="宋体" w:cs="宋体"/>
          <w:b/>
          <w:bCs/>
          <w:color w:val="auto"/>
          <w:sz w:val="28"/>
          <w:szCs w:val="28"/>
        </w:rPr>
      </w:pPr>
      <w:r>
        <w:rPr>
          <w:rFonts w:hint="eastAsia" w:ascii="宋体" w:hAnsi="宋体" w:eastAsia="宋体" w:cs="宋体"/>
          <w:b/>
          <w:bCs/>
          <w:color w:val="auto"/>
          <w:sz w:val="28"/>
          <w:szCs w:val="28"/>
        </w:rPr>
        <w:t>南山供电局公用配电房验收规范</w:t>
      </w:r>
      <w:bookmarkEnd w:id="0"/>
    </w:p>
    <w:p>
      <w:pPr>
        <w:pageBreakBefore w:val="0"/>
        <w:kinsoku/>
        <w:overflowPunct/>
        <w:topLinePunct w:val="0"/>
        <w:bidi w:val="0"/>
        <w:spacing w:line="560" w:lineRule="exact"/>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一、基本信息</w:t>
      </w:r>
    </w:p>
    <w:tbl>
      <w:tblPr>
        <w:tblStyle w:val="13"/>
        <w:tblW w:w="4998" w:type="pct"/>
        <w:tblInd w:w="0" w:type="dxa"/>
        <w:tblLayout w:type="autofit"/>
        <w:tblCellMar>
          <w:top w:w="0" w:type="dxa"/>
          <w:left w:w="0" w:type="dxa"/>
          <w:bottom w:w="0" w:type="dxa"/>
          <w:right w:w="0" w:type="dxa"/>
        </w:tblCellMar>
      </w:tblPr>
      <w:tblGrid>
        <w:gridCol w:w="1770"/>
        <w:gridCol w:w="2852"/>
        <w:gridCol w:w="1669"/>
        <w:gridCol w:w="2785"/>
      </w:tblGrid>
      <w:tr>
        <w:tblPrEx>
          <w:tblCellMar>
            <w:top w:w="0" w:type="dxa"/>
            <w:left w:w="0" w:type="dxa"/>
            <w:bottom w:w="0" w:type="dxa"/>
            <w:right w:w="0" w:type="dxa"/>
          </w:tblCellMar>
        </w:tblPrEx>
        <w:trPr>
          <w:trHeight w:val="634" w:hRule="exact"/>
        </w:trPr>
        <w:tc>
          <w:tcPr>
            <w:tcW w:w="97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line="275" w:lineRule="exact"/>
              <w:ind w:right="61"/>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工程名称</w:t>
            </w:r>
          </w:p>
        </w:tc>
        <w:tc>
          <w:tcPr>
            <w:tcW w:w="1571"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c>
          <w:tcPr>
            <w:tcW w:w="919"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ind w:right="-2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工程编号</w:t>
            </w:r>
          </w:p>
        </w:tc>
        <w:tc>
          <w:tcPr>
            <w:tcW w:w="1533"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ind w:left="431" w:right="-20" w:firstLine="210" w:firstLineChars="100"/>
              <w:jc w:val="center"/>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634" w:hRule="exact"/>
        </w:trPr>
        <w:tc>
          <w:tcPr>
            <w:tcW w:w="97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line="275" w:lineRule="exact"/>
              <w:ind w:right="61"/>
              <w:jc w:val="center"/>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客户名称</w:t>
            </w:r>
          </w:p>
        </w:tc>
        <w:tc>
          <w:tcPr>
            <w:tcW w:w="1571"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c>
          <w:tcPr>
            <w:tcW w:w="919"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ind w:right="-2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联系人及电话</w:t>
            </w:r>
          </w:p>
        </w:tc>
        <w:tc>
          <w:tcPr>
            <w:tcW w:w="1533"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ind w:left="431" w:right="-20" w:firstLine="210" w:firstLineChars="100"/>
              <w:jc w:val="center"/>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77" w:hRule="exact"/>
        </w:trPr>
        <w:tc>
          <w:tcPr>
            <w:tcW w:w="97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before="76"/>
              <w:ind w:right="-2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电房规格</w:t>
            </w:r>
          </w:p>
        </w:tc>
        <w:tc>
          <w:tcPr>
            <w:tcW w:w="4024" w:type="pct"/>
            <w:gridSpan w:val="3"/>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76" w:hRule="exact"/>
        </w:trPr>
        <w:tc>
          <w:tcPr>
            <w:tcW w:w="97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before="76"/>
              <w:ind w:right="-2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验收人员</w:t>
            </w:r>
          </w:p>
        </w:tc>
        <w:tc>
          <w:tcPr>
            <w:tcW w:w="4024" w:type="pct"/>
            <w:gridSpan w:val="3"/>
            <w:tcBorders>
              <w:top w:val="single" w:color="000000" w:sz="4" w:space="0"/>
              <w:left w:val="single" w:color="000000" w:sz="4" w:space="0"/>
              <w:bottom w:val="single" w:color="000000" w:sz="4" w:space="0"/>
              <w:right w:val="single" w:color="000000" w:sz="4" w:space="0"/>
            </w:tcBorders>
          </w:tcPr>
          <w:p>
            <w:pPr>
              <w:pageBreakBefore w:val="0"/>
              <w:kinsoku/>
              <w:overflowPunct/>
              <w:topLinePunct w:val="0"/>
              <w:autoSpaceDE w:val="0"/>
              <w:autoSpaceDN w:val="0"/>
              <w:bidi w:val="0"/>
              <w:adjustRightInd w:val="0"/>
              <w:jc w:val="left"/>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76" w:hRule="exact"/>
        </w:trPr>
        <w:tc>
          <w:tcPr>
            <w:tcW w:w="97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验收时间</w:t>
            </w:r>
          </w:p>
        </w:tc>
        <w:tc>
          <w:tcPr>
            <w:tcW w:w="4024" w:type="pct"/>
            <w:gridSpan w:val="3"/>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adjustRightInd w:val="0"/>
              <w:snapToGrid w:val="0"/>
              <w:outlineLvl w:val="9"/>
              <w:rPr>
                <w:rFonts w:hint="eastAsia" w:ascii="宋体" w:hAnsi="宋体" w:eastAsia="宋体" w:cs="宋体"/>
                <w:color w:val="auto"/>
                <w:kern w:val="0"/>
                <w:sz w:val="21"/>
                <w:szCs w:val="21"/>
              </w:rPr>
            </w:pPr>
          </w:p>
        </w:tc>
      </w:tr>
    </w:tbl>
    <w:p>
      <w:pPr>
        <w:pageBreakBefore w:val="0"/>
        <w:tabs>
          <w:tab w:val="left" w:pos="645"/>
        </w:tabs>
        <w:kinsoku/>
        <w:overflowPunct/>
        <w:topLinePunct w:val="0"/>
        <w:autoSpaceDE w:val="0"/>
        <w:autoSpaceDN w:val="0"/>
        <w:bidi w:val="0"/>
        <w:adjustRightInd w:val="0"/>
        <w:spacing w:line="360" w:lineRule="auto"/>
        <w:ind w:right="-23"/>
        <w:jc w:val="left"/>
        <w:outlineLvl w:val="1"/>
        <w:rPr>
          <w:rFonts w:hint="eastAsia" w:ascii="宋体" w:hAnsi="宋体" w:eastAsia="宋体" w:cs="宋体"/>
          <w:color w:val="auto"/>
          <w:spacing w:val="1"/>
          <w:kern w:val="0"/>
          <w:sz w:val="21"/>
          <w:szCs w:val="21"/>
        </w:rPr>
      </w:pPr>
      <w:r>
        <w:rPr>
          <w:rFonts w:hint="eastAsia" w:ascii="宋体" w:hAnsi="宋体" w:eastAsia="宋体" w:cs="宋体"/>
          <w:b/>
          <w:color w:val="auto"/>
          <w:kern w:val="0"/>
          <w:sz w:val="21"/>
          <w:szCs w:val="21"/>
        </w:rPr>
        <w:t>二、资料验收</w:t>
      </w:r>
    </w:p>
    <w:tbl>
      <w:tblPr>
        <w:tblStyle w:val="13"/>
        <w:tblW w:w="5004" w:type="pct"/>
        <w:tblInd w:w="0" w:type="dxa"/>
        <w:tblLayout w:type="autofit"/>
        <w:tblCellMar>
          <w:top w:w="0" w:type="dxa"/>
          <w:left w:w="0" w:type="dxa"/>
          <w:bottom w:w="0" w:type="dxa"/>
          <w:right w:w="0" w:type="dxa"/>
        </w:tblCellMar>
      </w:tblPr>
      <w:tblGrid>
        <w:gridCol w:w="1059"/>
        <w:gridCol w:w="6290"/>
        <w:gridCol w:w="1738"/>
      </w:tblGrid>
      <w:tr>
        <w:tblPrEx>
          <w:tblCellMar>
            <w:top w:w="0" w:type="dxa"/>
            <w:left w:w="0" w:type="dxa"/>
            <w:bottom w:w="0" w:type="dxa"/>
            <w:right w:w="0" w:type="dxa"/>
          </w:tblCellMar>
        </w:tblPrEx>
        <w:trPr>
          <w:trHeight w:val="634" w:hRule="exact"/>
          <w:tblHeader/>
        </w:trPr>
        <w:tc>
          <w:tcPr>
            <w:tcW w:w="583"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before="5" w:line="100" w:lineRule="exact"/>
              <w:jc w:val="center"/>
              <w:outlineLvl w:val="9"/>
              <w:rPr>
                <w:rFonts w:hint="eastAsia" w:ascii="宋体" w:hAnsi="宋体" w:eastAsia="宋体" w:cs="宋体"/>
                <w:color w:val="auto"/>
                <w:kern w:val="0"/>
                <w:sz w:val="21"/>
                <w:szCs w:val="21"/>
              </w:rPr>
            </w:pPr>
          </w:p>
          <w:p>
            <w:pPr>
              <w:pageBreakBefore w:val="0"/>
              <w:kinsoku/>
              <w:overflowPunct/>
              <w:topLinePunct w:val="0"/>
              <w:autoSpaceDE w:val="0"/>
              <w:autoSpaceDN w:val="0"/>
              <w:bidi w:val="0"/>
              <w:adjustRightInd w:val="0"/>
              <w:ind w:right="-2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3460"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before="5" w:line="100" w:lineRule="exact"/>
              <w:jc w:val="center"/>
              <w:outlineLvl w:val="9"/>
              <w:rPr>
                <w:rFonts w:hint="eastAsia" w:ascii="宋体" w:hAnsi="宋体" w:eastAsia="宋体" w:cs="宋体"/>
                <w:color w:val="auto"/>
                <w:kern w:val="0"/>
                <w:sz w:val="21"/>
                <w:szCs w:val="21"/>
              </w:rPr>
            </w:pPr>
          </w:p>
          <w:p>
            <w:pPr>
              <w:pageBreakBefore w:val="0"/>
              <w:kinsoku/>
              <w:overflowPunct/>
              <w:topLinePunct w:val="0"/>
              <w:autoSpaceDE w:val="0"/>
              <w:autoSpaceDN w:val="0"/>
              <w:bidi w:val="0"/>
              <w:adjustRightInd w:val="0"/>
              <w:ind w:left="1400" w:right="1381"/>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具体内容</w:t>
            </w:r>
          </w:p>
        </w:tc>
        <w:tc>
          <w:tcPr>
            <w:tcW w:w="956"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before="76"/>
              <w:ind w:left="102" w:right="-2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是否符合要求</w:t>
            </w:r>
          </w:p>
        </w:tc>
      </w:tr>
      <w:tr>
        <w:tblPrEx>
          <w:tblCellMar>
            <w:top w:w="0" w:type="dxa"/>
            <w:left w:w="0" w:type="dxa"/>
            <w:bottom w:w="0" w:type="dxa"/>
            <w:right w:w="0" w:type="dxa"/>
          </w:tblCellMar>
        </w:tblPrEx>
        <w:trPr>
          <w:trHeight w:val="576" w:hRule="exact"/>
        </w:trPr>
        <w:tc>
          <w:tcPr>
            <w:tcW w:w="583"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before="76"/>
              <w:ind w:left="306" w:right="286"/>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3460"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before="76"/>
              <w:ind w:right="-20"/>
              <w:jc w:val="left"/>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加盖公章的</w:t>
            </w:r>
            <w:r>
              <w:rPr>
                <w:rFonts w:hint="eastAsia" w:ascii="宋体" w:hAnsi="宋体" w:eastAsia="宋体" w:cs="宋体"/>
                <w:color w:val="auto"/>
                <w:kern w:val="0"/>
                <w:sz w:val="21"/>
                <w:szCs w:val="21"/>
                <w:lang w:val="en-US" w:eastAsia="zh-CN"/>
              </w:rPr>
              <w:t>电房平面图和通道图</w:t>
            </w:r>
          </w:p>
        </w:tc>
        <w:tc>
          <w:tcPr>
            <w:tcW w:w="956"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77" w:hRule="exact"/>
        </w:trPr>
        <w:tc>
          <w:tcPr>
            <w:tcW w:w="583"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before="76"/>
              <w:ind w:left="254" w:right="233"/>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3460"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before="76"/>
              <w:ind w:right="-2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业主方签字的竣工验收报告（有时）</w:t>
            </w:r>
          </w:p>
        </w:tc>
        <w:tc>
          <w:tcPr>
            <w:tcW w:w="956"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77" w:hRule="exact"/>
        </w:trPr>
        <w:tc>
          <w:tcPr>
            <w:tcW w:w="583"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before="76"/>
              <w:ind w:left="254" w:right="233"/>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3460"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before="76"/>
              <w:ind w:right="-2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设备、特殊工具及备品备件清单（有时）</w:t>
            </w:r>
          </w:p>
        </w:tc>
        <w:tc>
          <w:tcPr>
            <w:tcW w:w="956"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r>
      <w:tr>
        <w:trPr>
          <w:trHeight w:val="577" w:hRule="exact"/>
        </w:trPr>
        <w:tc>
          <w:tcPr>
            <w:tcW w:w="583"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textAlignment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3460"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before="76"/>
              <w:ind w:right="-2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设计变更的证明文件、施工图</w:t>
            </w:r>
          </w:p>
        </w:tc>
        <w:tc>
          <w:tcPr>
            <w:tcW w:w="956"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77" w:hRule="exact"/>
        </w:trPr>
        <w:tc>
          <w:tcPr>
            <w:tcW w:w="583"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before="76"/>
              <w:ind w:right="-2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3460"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before="76"/>
              <w:ind w:right="-2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电房全权证明或建设审批文件（有时）</w:t>
            </w:r>
          </w:p>
        </w:tc>
        <w:tc>
          <w:tcPr>
            <w:tcW w:w="956"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r>
    </w:tbl>
    <w:p>
      <w:pPr>
        <w:pageBreakBefore w:val="0"/>
        <w:kinsoku/>
        <w:overflowPunct/>
        <w:topLinePunct w:val="0"/>
        <w:autoSpaceDE w:val="0"/>
        <w:autoSpaceDN w:val="0"/>
        <w:bidi w:val="0"/>
        <w:adjustRightInd w:val="0"/>
        <w:spacing w:line="270" w:lineRule="exact"/>
        <w:ind w:right="-20"/>
        <w:jc w:val="left"/>
        <w:outlineLvl w:val="9"/>
        <w:rPr>
          <w:rFonts w:hint="eastAsia" w:ascii="宋体" w:hAnsi="宋体" w:eastAsia="宋体" w:cs="宋体"/>
          <w:color w:val="auto"/>
          <w:kern w:val="0"/>
          <w:position w:val="-2"/>
          <w:sz w:val="21"/>
          <w:szCs w:val="21"/>
        </w:rPr>
      </w:pPr>
    </w:p>
    <w:p>
      <w:pPr>
        <w:pageBreakBefore w:val="0"/>
        <w:numPr>
          <w:ilvl w:val="0"/>
          <w:numId w:val="2"/>
        </w:numPr>
        <w:kinsoku/>
        <w:overflowPunct/>
        <w:topLinePunct w:val="0"/>
        <w:bidi w:val="0"/>
        <w:spacing w:line="480" w:lineRule="auto"/>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配电房布置及选址要求</w:t>
      </w:r>
    </w:p>
    <w:p>
      <w:pPr>
        <w:pStyle w:val="32"/>
        <w:pageBreakBefore w:val="0"/>
        <w:kinsoku/>
        <w:overflowPunct/>
        <w:topLinePunct w:val="0"/>
        <w:bidi w:val="0"/>
        <w:spacing w:before="0" w:beforeLines="0" w:after="0" w:line="560" w:lineRule="exac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（一）配电房选址</w:t>
      </w:r>
    </w:p>
    <w:p>
      <w:pPr>
        <w:pStyle w:val="32"/>
        <w:pageBreakBefore w:val="0"/>
        <w:kinsoku/>
        <w:overflowPunct/>
        <w:topLinePunct w:val="0"/>
        <w:bidi w:val="0"/>
        <w:spacing w:before="0" w:beforeLines="0" w:after="0" w:line="56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选址应与</w:t>
      </w:r>
      <w:r>
        <w:rPr>
          <w:rFonts w:hint="eastAsia" w:ascii="宋体" w:hAnsi="宋体" w:eastAsia="宋体" w:cs="宋体"/>
          <w:color w:val="auto"/>
          <w:sz w:val="21"/>
          <w:szCs w:val="21"/>
          <w:lang w:val="en-US" w:eastAsia="zh-CN"/>
        </w:rPr>
        <w:t>周边</w:t>
      </w:r>
      <w:r>
        <w:rPr>
          <w:rFonts w:hint="eastAsia" w:ascii="宋体" w:hAnsi="宋体" w:eastAsia="宋体" w:cs="宋体"/>
          <w:color w:val="auto"/>
          <w:sz w:val="21"/>
          <w:szCs w:val="21"/>
        </w:rPr>
        <w:t>规划等相协调，并满足设计规范相关要求。配电房建筑外观应简洁大方，建筑造型元素简约，无装饰性构件，并尽量做到与周边环境相协调。</w:t>
      </w:r>
    </w:p>
    <w:p>
      <w:pPr>
        <w:pStyle w:val="32"/>
        <w:pageBreakBefore w:val="0"/>
        <w:kinsoku/>
        <w:overflowPunct/>
        <w:topLinePunct w:val="0"/>
        <w:bidi w:val="0"/>
        <w:spacing w:before="0" w:beforeLines="0" w:after="0" w:line="56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配电房的设置要求如</w:t>
      </w:r>
      <w:r>
        <w:rPr>
          <w:rFonts w:hint="eastAsia" w:ascii="宋体" w:hAnsi="宋体" w:eastAsia="宋体" w:cs="宋体"/>
          <w:color w:val="auto"/>
          <w:sz w:val="21"/>
          <w:szCs w:val="21"/>
          <w:lang w:val="en-US" w:eastAsia="zh-CN"/>
        </w:rPr>
        <w:t>下表</w:t>
      </w:r>
      <w:r>
        <w:rPr>
          <w:rFonts w:hint="eastAsia" w:ascii="宋体" w:hAnsi="宋体" w:eastAsia="宋体" w:cs="宋体"/>
          <w:color w:val="auto"/>
          <w:sz w:val="21"/>
          <w:szCs w:val="21"/>
        </w:rPr>
        <w:t>所示。</w:t>
      </w:r>
    </w:p>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Style w:val="32"/>
        <w:pageBreakBefore w:val="0"/>
        <w:kinsoku/>
        <w:overflowPunct/>
        <w:topLinePunct w:val="0"/>
        <w:bidi w:val="0"/>
        <w:spacing w:before="0" w:beforeLines="0" w:after="0" w:line="560" w:lineRule="exact"/>
        <w:outlineLvl w:val="9"/>
        <w:rPr>
          <w:rFonts w:hint="eastAsia" w:ascii="宋体" w:hAnsi="宋体" w:eastAsia="宋体" w:cs="宋体"/>
          <w:color w:val="auto"/>
          <w:sz w:val="21"/>
          <w:szCs w:val="21"/>
        </w:rPr>
      </w:pP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3882"/>
        <w:gridCol w:w="4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0" w:type="pct"/>
            <w:shd w:val="clear" w:color="auto" w:fill="F1F1F1" w:themeFill="background1" w:themeFillShade="F2"/>
            <w:vAlign w:val="center"/>
          </w:tcPr>
          <w:p>
            <w:pPr>
              <w:pStyle w:val="33"/>
              <w:pageBreakBefore w:val="0"/>
              <w:kinsoku/>
              <w:overflowPunct/>
              <w:topLinePunct w:val="0"/>
              <w:bidi w:val="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站点类型</w:t>
            </w:r>
          </w:p>
        </w:tc>
        <w:tc>
          <w:tcPr>
            <w:tcW w:w="2091" w:type="pct"/>
            <w:shd w:val="clear" w:color="auto" w:fill="F1F1F1" w:themeFill="background1" w:themeFillShade="F2"/>
            <w:vAlign w:val="center"/>
          </w:tcPr>
          <w:p>
            <w:pPr>
              <w:pStyle w:val="33"/>
              <w:pageBreakBefore w:val="0"/>
              <w:kinsoku/>
              <w:overflowPunct/>
              <w:topLinePunct w:val="0"/>
              <w:bidi w:val="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设置原则</w:t>
            </w:r>
          </w:p>
        </w:tc>
        <w:tc>
          <w:tcPr>
            <w:tcW w:w="2218" w:type="pct"/>
            <w:shd w:val="clear" w:color="auto" w:fill="F1F1F1" w:themeFill="background1" w:themeFillShade="F2"/>
            <w:vAlign w:val="center"/>
          </w:tcPr>
          <w:p>
            <w:pPr>
              <w:pStyle w:val="33"/>
              <w:pageBreakBefore w:val="0"/>
              <w:kinsoku/>
              <w:overflowPunct/>
              <w:topLinePunct w:val="0"/>
              <w:bidi w:val="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设置部位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0" w:type="pct"/>
            <w:vAlign w:val="center"/>
          </w:tcPr>
          <w:p>
            <w:pPr>
              <w:pStyle w:val="34"/>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独立式配电房</w:t>
            </w:r>
          </w:p>
        </w:tc>
        <w:tc>
          <w:tcPr>
            <w:tcW w:w="2091" w:type="pct"/>
            <w:vMerge w:val="restart"/>
            <w:vAlign w:val="center"/>
          </w:tcPr>
          <w:p>
            <w:pPr>
              <w:pStyle w:val="34"/>
              <w:pageBreakBefore w:val="0"/>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应尽量靠近电源侧，便于交通运输及运维抢修，具有充足的进出线通道且进出线方便。</w:t>
            </w:r>
          </w:p>
        </w:tc>
        <w:tc>
          <w:tcPr>
            <w:tcW w:w="2218" w:type="pct"/>
            <w:vAlign w:val="center"/>
          </w:tcPr>
          <w:p>
            <w:pPr>
              <w:pStyle w:val="34"/>
              <w:pageBreakBefore w:val="0"/>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宜在用户红线内靠近红线边缘设置；</w:t>
            </w:r>
          </w:p>
          <w:p>
            <w:pPr>
              <w:pStyle w:val="34"/>
              <w:pageBreakBefore w:val="0"/>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2）宜靠近市政电缆通道设置。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90" w:type="pct"/>
            <w:vAlign w:val="center"/>
          </w:tcPr>
          <w:p>
            <w:pPr>
              <w:pStyle w:val="34"/>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附设式配电房</w:t>
            </w:r>
          </w:p>
        </w:tc>
        <w:tc>
          <w:tcPr>
            <w:tcW w:w="2091" w:type="pct"/>
            <w:vMerge w:val="continue"/>
            <w:vAlign w:val="center"/>
          </w:tcPr>
          <w:p>
            <w:pPr>
              <w:pStyle w:val="34"/>
              <w:pageBreakBefore w:val="0"/>
              <w:kinsoku/>
              <w:overflowPunct/>
              <w:topLinePunct w:val="0"/>
              <w:bidi w:val="0"/>
              <w:jc w:val="left"/>
              <w:outlineLvl w:val="9"/>
              <w:rPr>
                <w:rFonts w:hint="eastAsia" w:ascii="宋体" w:hAnsi="宋体" w:eastAsia="宋体" w:cs="宋体"/>
                <w:color w:val="auto"/>
                <w:sz w:val="21"/>
                <w:szCs w:val="21"/>
              </w:rPr>
            </w:pPr>
          </w:p>
        </w:tc>
        <w:tc>
          <w:tcPr>
            <w:tcW w:w="2218" w:type="pct"/>
            <w:vAlign w:val="center"/>
          </w:tcPr>
          <w:p>
            <w:pPr>
              <w:pStyle w:val="34"/>
              <w:pageBreakBefore w:val="0"/>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1）原则上应设置在首层；</w:t>
            </w:r>
          </w:p>
          <w:p>
            <w:pPr>
              <w:pStyle w:val="34"/>
              <w:pageBreakBefore w:val="0"/>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2）可设置在靠近首层的地下负一层，但不应设置在最底层；</w:t>
            </w:r>
          </w:p>
          <w:p>
            <w:pPr>
              <w:pStyle w:val="34"/>
              <w:pageBreakBefore w:val="0"/>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3）不宜设置在地上较高层。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0" w:type="pct"/>
            <w:vAlign w:val="center"/>
          </w:tcPr>
          <w:p>
            <w:pPr>
              <w:pStyle w:val="34"/>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独立式配电房</w:t>
            </w:r>
          </w:p>
        </w:tc>
        <w:tc>
          <w:tcPr>
            <w:tcW w:w="2091" w:type="pct"/>
            <w:vMerge w:val="restart"/>
            <w:vAlign w:val="center"/>
          </w:tcPr>
          <w:p>
            <w:pPr>
              <w:pStyle w:val="34"/>
              <w:pageBreakBefore w:val="0"/>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1）应结合片区规划及近中期负荷预测结果，合理选择配电站的布点位置、配变数量及供电范围，确定配电站的型式、终期建设规模及占地尺寸；</w:t>
            </w:r>
          </w:p>
          <w:p>
            <w:pPr>
              <w:pStyle w:val="34"/>
              <w:pageBreakBefore w:val="0"/>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2）应便于交通运输，具有充足的进出线通道且进出线方便。</w:t>
            </w:r>
          </w:p>
        </w:tc>
        <w:tc>
          <w:tcPr>
            <w:tcW w:w="2218" w:type="pct"/>
            <w:vAlign w:val="center"/>
          </w:tcPr>
          <w:p>
            <w:pPr>
              <w:pStyle w:val="34"/>
              <w:pageBreakBefore w:val="0"/>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深入或接近负荷中心设置。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90" w:type="pct"/>
            <w:vAlign w:val="center"/>
          </w:tcPr>
          <w:p>
            <w:pPr>
              <w:pStyle w:val="34"/>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附设式配电房</w:t>
            </w:r>
          </w:p>
        </w:tc>
        <w:tc>
          <w:tcPr>
            <w:tcW w:w="2091" w:type="pct"/>
            <w:vMerge w:val="continue"/>
            <w:vAlign w:val="center"/>
          </w:tcPr>
          <w:p>
            <w:pPr>
              <w:pStyle w:val="34"/>
              <w:pageBreakBefore w:val="0"/>
              <w:kinsoku/>
              <w:overflowPunct/>
              <w:topLinePunct w:val="0"/>
              <w:bidi w:val="0"/>
              <w:jc w:val="left"/>
              <w:outlineLvl w:val="9"/>
              <w:rPr>
                <w:rFonts w:hint="eastAsia" w:ascii="宋体" w:hAnsi="宋体" w:eastAsia="宋体" w:cs="宋体"/>
                <w:color w:val="auto"/>
                <w:sz w:val="21"/>
                <w:szCs w:val="21"/>
              </w:rPr>
            </w:pPr>
          </w:p>
        </w:tc>
        <w:tc>
          <w:tcPr>
            <w:tcW w:w="2218" w:type="pct"/>
            <w:vAlign w:val="center"/>
          </w:tcPr>
          <w:p>
            <w:pPr>
              <w:pStyle w:val="34"/>
              <w:pageBreakBefore w:val="0"/>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1）深入或接近负荷中心设置；</w:t>
            </w:r>
          </w:p>
          <w:p>
            <w:pPr>
              <w:pStyle w:val="34"/>
              <w:pageBreakBefore w:val="0"/>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2）可设置在建筑物首层、地下负一层、地上层，不应设置在最底层。</w:t>
            </w:r>
          </w:p>
        </w:tc>
      </w:tr>
    </w:tbl>
    <w:p>
      <w:pPr>
        <w:pStyle w:val="30"/>
        <w:pageBreakBefore w:val="0"/>
        <w:kinsoku/>
        <w:overflowPunct/>
        <w:topLinePunct w:val="0"/>
        <w:bidi w:val="0"/>
        <w:spacing w:before="312" w:beforeLines="100" w:after="0"/>
        <w:outlineLvl w:val="9"/>
        <w:rPr>
          <w:rFonts w:hint="eastAsia" w:ascii="宋体" w:hAnsi="宋体" w:eastAsia="宋体" w:cs="宋体"/>
          <w:color w:val="auto"/>
          <w:sz w:val="21"/>
          <w:szCs w:val="21"/>
        </w:rPr>
      </w:pPr>
      <w:bookmarkStart w:id="1" w:name="_Toc29995260"/>
      <w:bookmarkStart w:id="2" w:name="_Toc360666163"/>
      <w:bookmarkStart w:id="3" w:name="_Toc32007"/>
      <w:r>
        <w:rPr>
          <w:rFonts w:hint="eastAsia" w:ascii="宋体" w:hAnsi="宋体" w:eastAsia="宋体" w:cs="宋体"/>
          <w:color w:val="auto"/>
          <w:sz w:val="21"/>
          <w:szCs w:val="21"/>
        </w:rPr>
        <w:t>（二）配电房布置</w:t>
      </w:r>
      <w:bookmarkEnd w:id="1"/>
      <w:bookmarkEnd w:id="2"/>
      <w:bookmarkEnd w:id="3"/>
      <w:r>
        <w:rPr>
          <w:rFonts w:hint="eastAsia" w:ascii="宋体" w:hAnsi="宋体" w:eastAsia="宋体" w:cs="宋体"/>
          <w:color w:val="auto"/>
          <w:sz w:val="21"/>
          <w:szCs w:val="21"/>
        </w:rPr>
        <w:t>要求</w:t>
      </w:r>
    </w:p>
    <w:p>
      <w:pPr>
        <w:pStyle w:val="32"/>
        <w:pageBreakBefore w:val="0"/>
        <w:kinsoku/>
        <w:overflowPunct/>
        <w:topLinePunct w:val="0"/>
        <w:bidi w:val="0"/>
        <w:spacing w:before="0" w:beforeLines="0" w:after="0" w:line="56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1、配电房的布置应便于设备的操作、搬运、检修、试验和巡视，优先选用模块化、小型化设备。</w:t>
      </w:r>
    </w:p>
    <w:p>
      <w:pPr>
        <w:pStyle w:val="32"/>
        <w:pageBreakBefore w:val="0"/>
        <w:kinsoku/>
        <w:overflowPunct/>
        <w:topLinePunct w:val="0"/>
        <w:bidi w:val="0"/>
        <w:spacing w:before="0" w:beforeLines="0" w:after="0" w:line="56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2、应根据需求预留配电自动化设备、计量设备、智能设备、应急电源接入设备及电缆旁路作业设备的安装位置和操作空间，并考虑发展的可能性。</w:t>
      </w:r>
    </w:p>
    <w:p>
      <w:pPr>
        <w:pStyle w:val="32"/>
        <w:pageBreakBefore w:val="0"/>
        <w:kinsoku/>
        <w:overflowPunct/>
        <w:topLinePunct w:val="0"/>
        <w:bidi w:val="0"/>
        <w:spacing w:before="0" w:beforeLines="0" w:after="0" w:line="56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rPr>
        <w:t>配电房</w:t>
      </w:r>
      <w:r>
        <w:rPr>
          <w:rFonts w:hint="eastAsia" w:ascii="宋体" w:hAnsi="宋体" w:eastAsia="宋体" w:cs="宋体"/>
          <w:color w:val="auto"/>
          <w:sz w:val="21"/>
          <w:szCs w:val="21"/>
        </w:rPr>
        <w:t>的人员进出通道应能全天候方便进出，</w:t>
      </w:r>
      <w:bookmarkStart w:id="5" w:name="_GoBack"/>
      <w:bookmarkEnd w:id="5"/>
      <w:r>
        <w:rPr>
          <w:rFonts w:hint="eastAsia" w:ascii="宋体" w:hAnsi="宋体" w:eastAsia="宋体" w:cs="宋体"/>
          <w:color w:val="auto"/>
          <w:sz w:val="21"/>
          <w:szCs w:val="21"/>
        </w:rPr>
        <w:t>并保证通道畅通。</w:t>
      </w:r>
    </w:p>
    <w:p>
      <w:pPr>
        <w:pStyle w:val="32"/>
        <w:pageBreakBefore w:val="0"/>
        <w:kinsoku/>
        <w:overflowPunct/>
        <w:topLinePunct w:val="0"/>
        <w:bidi w:val="0"/>
        <w:spacing w:before="0" w:beforeLines="0" w:after="0" w:line="560" w:lineRule="exact"/>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rPr>
        <w:t>配电房</w:t>
      </w:r>
      <w:r>
        <w:rPr>
          <w:rFonts w:hint="eastAsia" w:ascii="宋体" w:hAnsi="宋体" w:eastAsia="宋体" w:cs="宋体"/>
          <w:color w:val="auto"/>
          <w:sz w:val="21"/>
          <w:szCs w:val="21"/>
        </w:rPr>
        <w:t>道路应有足够的高度、宽度和强度，满足配电设备、运输车辆等的尺寸和重量要求。</w:t>
      </w:r>
    </w:p>
    <w:p>
      <w:pPr>
        <w:pStyle w:val="32"/>
        <w:pageBreakBefore w:val="0"/>
        <w:kinsoku/>
        <w:overflowPunct/>
        <w:topLinePunct w:val="0"/>
        <w:bidi w:val="0"/>
        <w:spacing w:before="0" w:beforeLines="0" w:after="0" w:line="560" w:lineRule="exact"/>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（三）配电站的典型布置</w:t>
      </w:r>
    </w:p>
    <w:p>
      <w:pPr>
        <w:pStyle w:val="6"/>
        <w:pageBreakBefore w:val="0"/>
        <w:kinsoku/>
        <w:overflowPunct/>
        <w:topLinePunct w:val="0"/>
        <w:bidi w:val="0"/>
        <w:outlineLvl w:val="9"/>
        <w:rPr>
          <w:rFonts w:hint="eastAsia" w:ascii="宋体" w:hAnsi="宋体" w:eastAsia="宋体" w:cs="宋体"/>
          <w:color w:val="auto"/>
          <w:sz w:val="21"/>
          <w:szCs w:val="21"/>
        </w:rPr>
      </w:pPr>
      <w:bookmarkStart w:id="4" w:name="_Ref17384500"/>
      <w:r>
        <w:rPr>
          <w:rFonts w:hint="eastAsia" w:ascii="宋体" w:hAnsi="宋体" w:eastAsia="宋体" w:cs="宋体"/>
          <w:color w:val="auto"/>
          <w:sz w:val="21"/>
          <w:szCs w:val="21"/>
        </w:rPr>
        <w:t>表3</w:t>
      </w:r>
      <w:r>
        <w:rPr>
          <w:rFonts w:hint="eastAsia" w:ascii="宋体" w:hAnsi="宋体" w:eastAsia="宋体" w:cs="宋体"/>
          <w:color w:val="auto"/>
          <w:sz w:val="21"/>
          <w:szCs w:val="21"/>
        </w:rPr>
        <w:noBreakHyphen/>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SEQ 表 \* ARABIC \s 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w:t>
      </w:r>
      <w:r>
        <w:rPr>
          <w:rFonts w:hint="eastAsia" w:ascii="宋体" w:hAnsi="宋体" w:eastAsia="宋体" w:cs="宋体"/>
          <w:color w:val="auto"/>
          <w:sz w:val="21"/>
          <w:szCs w:val="21"/>
        </w:rPr>
        <w:fldChar w:fldCharType="end"/>
      </w:r>
      <w:bookmarkEnd w:id="4"/>
      <w:r>
        <w:rPr>
          <w:rFonts w:hint="eastAsia" w:ascii="宋体" w:hAnsi="宋体" w:eastAsia="宋体" w:cs="宋体"/>
          <w:color w:val="auto"/>
          <w:sz w:val="21"/>
          <w:szCs w:val="21"/>
        </w:rPr>
        <w:t>配电房最小内空尺寸</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082"/>
        <w:gridCol w:w="992"/>
        <w:gridCol w:w="1277"/>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20" w:type="dxa"/>
            <w:vMerge w:val="restart"/>
            <w:shd w:val="clear" w:color="auto" w:fill="D8D8D8" w:themeFill="background1" w:themeFillShade="D9"/>
            <w:vAlign w:val="center"/>
          </w:tcPr>
          <w:p>
            <w:pPr>
              <w:pStyle w:val="33"/>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站点类型</w:t>
            </w:r>
          </w:p>
        </w:tc>
        <w:tc>
          <w:tcPr>
            <w:tcW w:w="3351" w:type="dxa"/>
            <w:gridSpan w:val="3"/>
            <w:shd w:val="clear" w:color="auto" w:fill="D8D8D8" w:themeFill="background1" w:themeFillShade="D9"/>
            <w:vAlign w:val="center"/>
          </w:tcPr>
          <w:p>
            <w:pPr>
              <w:pStyle w:val="33"/>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最小尺寸</w:t>
            </w:r>
          </w:p>
        </w:tc>
        <w:tc>
          <w:tcPr>
            <w:tcW w:w="3451" w:type="dxa"/>
            <w:vMerge w:val="restart"/>
            <w:shd w:val="clear" w:color="auto" w:fill="D8D8D8" w:themeFill="background1" w:themeFillShade="D9"/>
            <w:vAlign w:val="center"/>
          </w:tcPr>
          <w:p>
            <w:pPr>
              <w:pStyle w:val="33"/>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布置方式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20" w:type="dxa"/>
            <w:vMerge w:val="continue"/>
            <w:shd w:val="clear" w:color="auto" w:fill="D8D8D8" w:themeFill="background1" w:themeFillShade="D9"/>
            <w:vAlign w:val="center"/>
          </w:tcPr>
          <w:p>
            <w:pPr>
              <w:pStyle w:val="33"/>
              <w:pageBreakBefore w:val="0"/>
              <w:kinsoku/>
              <w:overflowPunct/>
              <w:topLinePunct w:val="0"/>
              <w:bidi w:val="0"/>
              <w:outlineLvl w:val="9"/>
              <w:rPr>
                <w:rFonts w:hint="eastAsia" w:ascii="宋体" w:hAnsi="宋体" w:eastAsia="宋体" w:cs="宋体"/>
                <w:color w:val="auto"/>
                <w:sz w:val="21"/>
                <w:szCs w:val="21"/>
              </w:rPr>
            </w:pPr>
          </w:p>
        </w:tc>
        <w:tc>
          <w:tcPr>
            <w:tcW w:w="1082" w:type="dxa"/>
            <w:shd w:val="clear" w:color="auto" w:fill="D8D8D8" w:themeFill="background1" w:themeFillShade="D9"/>
            <w:vAlign w:val="center"/>
          </w:tcPr>
          <w:p>
            <w:pPr>
              <w:pStyle w:val="33"/>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长（m）</w:t>
            </w:r>
          </w:p>
        </w:tc>
        <w:tc>
          <w:tcPr>
            <w:tcW w:w="992" w:type="dxa"/>
            <w:shd w:val="clear" w:color="auto" w:fill="D8D8D8" w:themeFill="background1" w:themeFillShade="D9"/>
          </w:tcPr>
          <w:p>
            <w:pPr>
              <w:pStyle w:val="33"/>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宽（m）</w:t>
            </w:r>
          </w:p>
        </w:tc>
        <w:tc>
          <w:tcPr>
            <w:tcW w:w="1277" w:type="dxa"/>
            <w:shd w:val="clear" w:color="auto" w:fill="D8D8D8" w:themeFill="background1" w:themeFillShade="D9"/>
            <w:vAlign w:val="center"/>
          </w:tcPr>
          <w:p>
            <w:pPr>
              <w:pStyle w:val="33"/>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高（m）</w:t>
            </w:r>
          </w:p>
        </w:tc>
        <w:tc>
          <w:tcPr>
            <w:tcW w:w="3451" w:type="dxa"/>
            <w:vMerge w:val="continue"/>
            <w:shd w:val="clear" w:color="auto" w:fill="D8D8D8" w:themeFill="background1" w:themeFillShade="D9"/>
          </w:tcPr>
          <w:p>
            <w:pPr>
              <w:pStyle w:val="33"/>
              <w:pageBreakBefore w:val="0"/>
              <w:kinsoku/>
              <w:overflowPunct/>
              <w:topLinePunct w:val="0"/>
              <w:bidi w:val="0"/>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0" w:type="dxa"/>
            <w:vMerge w:val="restart"/>
            <w:vAlign w:val="center"/>
          </w:tcPr>
          <w:p>
            <w:pPr>
              <w:pStyle w:val="34"/>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公用配电房</w:t>
            </w:r>
          </w:p>
        </w:tc>
        <w:tc>
          <w:tcPr>
            <w:tcW w:w="1082" w:type="dxa"/>
            <w:vAlign w:val="center"/>
          </w:tcPr>
          <w:p>
            <w:pPr>
              <w:pStyle w:val="34"/>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992" w:type="dxa"/>
          </w:tcPr>
          <w:p>
            <w:pPr>
              <w:pStyle w:val="34"/>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77" w:type="dxa"/>
            <w:vAlign w:val="center"/>
          </w:tcPr>
          <w:p>
            <w:pPr>
              <w:pStyle w:val="34"/>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451" w:type="dxa"/>
          </w:tcPr>
          <w:p>
            <w:pPr>
              <w:pStyle w:val="34"/>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中压开关柜单列布置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0" w:type="dxa"/>
            <w:vMerge w:val="continue"/>
            <w:vAlign w:val="center"/>
          </w:tcPr>
          <w:p>
            <w:pPr>
              <w:pStyle w:val="34"/>
              <w:pageBreakBefore w:val="0"/>
              <w:kinsoku/>
              <w:overflowPunct/>
              <w:topLinePunct w:val="0"/>
              <w:bidi w:val="0"/>
              <w:outlineLvl w:val="9"/>
              <w:rPr>
                <w:rFonts w:hint="eastAsia" w:ascii="宋体" w:hAnsi="宋体" w:eastAsia="宋体" w:cs="宋体"/>
                <w:color w:val="auto"/>
                <w:sz w:val="21"/>
                <w:szCs w:val="21"/>
              </w:rPr>
            </w:pPr>
          </w:p>
        </w:tc>
        <w:tc>
          <w:tcPr>
            <w:tcW w:w="1082" w:type="dxa"/>
            <w:vAlign w:val="center"/>
          </w:tcPr>
          <w:p>
            <w:pPr>
              <w:pStyle w:val="34"/>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992" w:type="dxa"/>
          </w:tcPr>
          <w:p>
            <w:pPr>
              <w:pStyle w:val="34"/>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77" w:type="dxa"/>
            <w:vAlign w:val="center"/>
          </w:tcPr>
          <w:p>
            <w:pPr>
              <w:pStyle w:val="34"/>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451" w:type="dxa"/>
          </w:tcPr>
          <w:p>
            <w:pPr>
              <w:pStyle w:val="34"/>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中压开关柜双列布置</w:t>
            </w:r>
          </w:p>
        </w:tc>
      </w:tr>
    </w:tbl>
    <w:p>
      <w:pPr>
        <w:pStyle w:val="35"/>
        <w:pageBreakBefore w:val="0"/>
        <w:kinsoku/>
        <w:overflowPunct/>
        <w:topLinePunct w:val="0"/>
        <w:bidi w:val="0"/>
        <w:ind w:firstLine="0" w:firstLineChars="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注：最小尺寸为电房未装修时的尺寸，如因需做电缆沟将设备抬高应计算从门口到房顶的尺寸。</w:t>
      </w:r>
    </w:p>
    <w:p>
      <w:pPr>
        <w:pageBreakBefore w:val="0"/>
        <w:kinsoku/>
        <w:overflowPunct/>
        <w:topLinePunct w:val="0"/>
        <w:bidi w:val="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pPr>
        <w:pageBreakBefore w:val="0"/>
        <w:numPr>
          <w:ilvl w:val="0"/>
          <w:numId w:val="2"/>
        </w:numPr>
        <w:kinsoku/>
        <w:overflowPunct/>
        <w:topLinePunct w:val="0"/>
        <w:bidi w:val="0"/>
        <w:spacing w:line="480" w:lineRule="auto"/>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风险评估及风险预控措施</w:t>
      </w:r>
    </w:p>
    <w:tbl>
      <w:tblPr>
        <w:tblStyle w:val="13"/>
        <w:tblpPr w:leftFromText="180" w:rightFromText="180" w:vertAnchor="text" w:horzAnchor="page" w:tblpX="1439" w:tblpY="373"/>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1070"/>
        <w:gridCol w:w="1507"/>
        <w:gridCol w:w="5172"/>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5" w:hRule="atLeast"/>
        </w:trPr>
        <w:tc>
          <w:tcPr>
            <w:tcW w:w="588" w:type="pct"/>
            <w:vMerge w:val="restart"/>
            <w:textDirection w:val="tbRlV"/>
            <w:vAlign w:val="center"/>
          </w:tcPr>
          <w:p>
            <w:pPr>
              <w:pageBreakBefore w:val="0"/>
              <w:widowControl/>
              <w:kinsoku/>
              <w:overflowPunct/>
              <w:topLinePunct w:val="0"/>
              <w:bidi w:val="0"/>
              <w:jc w:val="center"/>
              <w:textAlignment w:val="center"/>
              <w:outlineLvl w:val="9"/>
              <w:rPr>
                <w:rFonts w:hint="eastAsia" w:ascii="宋体" w:hAnsi="宋体" w:eastAsia="宋体" w:cs="宋体"/>
                <w:b/>
                <w:color w:val="auto"/>
                <w:sz w:val="21"/>
                <w:szCs w:val="21"/>
              </w:rPr>
            </w:pPr>
            <w:r>
              <w:rPr>
                <w:rFonts w:hint="eastAsia" w:ascii="宋体" w:hAnsi="宋体" w:eastAsia="宋体" w:cs="宋体"/>
                <w:color w:val="auto"/>
                <w:kern w:val="0"/>
                <w:sz w:val="21"/>
                <w:szCs w:val="21"/>
              </w:rPr>
              <w:t>出发前准备</w:t>
            </w:r>
          </w:p>
        </w:tc>
        <w:tc>
          <w:tcPr>
            <w:tcW w:w="828" w:type="pct"/>
            <w:vAlign w:val="center"/>
          </w:tcPr>
          <w:p>
            <w:pPr>
              <w:pageBreakBefore w:val="0"/>
              <w:widowControl/>
              <w:kinsoku/>
              <w:overflowPunct/>
              <w:topLinePunct w:val="0"/>
              <w:bidi w:val="0"/>
              <w:jc w:val="center"/>
              <w:textAlignment w:val="center"/>
              <w:outlineLvl w:val="9"/>
              <w:rPr>
                <w:rFonts w:hint="eastAsia" w:ascii="宋体" w:hAnsi="宋体" w:eastAsia="宋体" w:cs="宋体"/>
                <w:b/>
                <w:color w:val="auto"/>
                <w:sz w:val="21"/>
                <w:szCs w:val="21"/>
              </w:rPr>
            </w:pPr>
            <w:r>
              <w:rPr>
                <w:rFonts w:hint="eastAsia" w:ascii="宋体" w:hAnsi="宋体" w:eastAsia="宋体" w:cs="宋体"/>
                <w:color w:val="auto"/>
                <w:kern w:val="0"/>
                <w:sz w:val="21"/>
                <w:szCs w:val="21"/>
              </w:rPr>
              <w:t>车辆</w:t>
            </w:r>
          </w:p>
        </w:tc>
        <w:tc>
          <w:tcPr>
            <w:tcW w:w="2842" w:type="pct"/>
            <w:vAlign w:val="center"/>
          </w:tcPr>
          <w:p>
            <w:pPr>
              <w:pageBreakBefore w:val="0"/>
              <w:widowControl/>
              <w:kinsoku/>
              <w:overflowPunct/>
              <w:topLinePunct w:val="0"/>
              <w:bidi w:val="0"/>
              <w:jc w:val="left"/>
              <w:outlineLvl w:val="9"/>
              <w:rPr>
                <w:rFonts w:hint="eastAsia" w:ascii="宋体" w:hAnsi="宋体" w:eastAsia="宋体" w:cs="宋体"/>
                <w:bCs/>
                <w:color w:val="auto"/>
                <w:sz w:val="21"/>
                <w:szCs w:val="21"/>
              </w:rPr>
            </w:pPr>
            <w:r>
              <w:rPr>
                <w:rFonts w:hint="eastAsia" w:ascii="宋体" w:hAnsi="宋体" w:eastAsia="宋体" w:cs="宋体"/>
                <w:bCs/>
                <w:color w:val="auto"/>
                <w:sz w:val="21"/>
                <w:szCs w:val="21"/>
              </w:rPr>
              <w:t>车辆检查、酒精测试</w:t>
            </w:r>
          </w:p>
        </w:tc>
        <w:tc>
          <w:tcPr>
            <w:tcW w:w="740" w:type="pct"/>
            <w:vAlign w:val="center"/>
          </w:tcPr>
          <w:p>
            <w:pPr>
              <w:pageBreakBefore w:val="0"/>
              <w:widowControl/>
              <w:kinsoku/>
              <w:overflowPunct/>
              <w:topLinePunct w:val="0"/>
              <w:bidi w:val="0"/>
              <w:jc w:val="center"/>
              <w:textAlignment w:val="center"/>
              <w:outlineLvl w:val="9"/>
              <w:rPr>
                <w:rFonts w:hint="eastAsia" w:ascii="宋体" w:hAnsi="宋体" w:eastAsia="宋体" w:cs="宋体"/>
                <w:bCs/>
                <w:color w:val="auto"/>
                <w:sz w:val="21"/>
                <w:szCs w:val="21"/>
              </w:rPr>
            </w:pPr>
            <w:r>
              <w:rPr>
                <w:rFonts w:hint="eastAsia" w:ascii="宋体" w:hAnsi="宋体" w:eastAsia="宋体" w:cs="宋体"/>
                <w:color w:val="auto"/>
                <w:kern w:val="0"/>
                <w:sz w:val="21"/>
                <w:szCs w:val="21"/>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0" w:hRule="atLeast"/>
        </w:trPr>
        <w:tc>
          <w:tcPr>
            <w:tcW w:w="588" w:type="pct"/>
            <w:vMerge w:val="continue"/>
            <w:textDirection w:val="tbRlV"/>
            <w:vAlign w:val="center"/>
          </w:tcPr>
          <w:p>
            <w:pPr>
              <w:pageBreakBefore w:val="0"/>
              <w:kinsoku/>
              <w:overflowPunct/>
              <w:topLinePunct w:val="0"/>
              <w:bidi w:val="0"/>
              <w:outlineLvl w:val="9"/>
              <w:rPr>
                <w:rFonts w:hint="eastAsia" w:ascii="宋体" w:hAnsi="宋体" w:eastAsia="宋体" w:cs="宋体"/>
                <w:b/>
                <w:color w:val="auto"/>
                <w:sz w:val="21"/>
                <w:szCs w:val="21"/>
              </w:rPr>
            </w:pPr>
          </w:p>
        </w:tc>
        <w:tc>
          <w:tcPr>
            <w:tcW w:w="828" w:type="pct"/>
            <w:vAlign w:val="center"/>
          </w:tcPr>
          <w:p>
            <w:pPr>
              <w:pageBreakBefore w:val="0"/>
              <w:widowControl/>
              <w:kinsoku/>
              <w:overflowPunct/>
              <w:topLinePunct w:val="0"/>
              <w:bidi w:val="0"/>
              <w:jc w:val="center"/>
              <w:textAlignment w:val="center"/>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材料</w:t>
            </w:r>
          </w:p>
        </w:tc>
        <w:tc>
          <w:tcPr>
            <w:tcW w:w="2842" w:type="pct"/>
            <w:vAlign w:val="center"/>
          </w:tcPr>
          <w:p>
            <w:pPr>
              <w:pageBreakBefore w:val="0"/>
              <w:widowControl/>
              <w:kinsoku/>
              <w:overflowPunct/>
              <w:topLinePunct w:val="0"/>
              <w:bidi w:val="0"/>
              <w:jc w:val="left"/>
              <w:textAlignment w:val="center"/>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rPr>
              <w:t>测量导线</w:t>
            </w:r>
          </w:p>
        </w:tc>
        <w:tc>
          <w:tcPr>
            <w:tcW w:w="740" w:type="pct"/>
            <w:vAlign w:val="center"/>
          </w:tcPr>
          <w:p>
            <w:pPr>
              <w:pageBreakBefore w:val="0"/>
              <w:kinsoku/>
              <w:overflowPunct/>
              <w:topLinePunct w:val="0"/>
              <w:bidi w:val="0"/>
              <w:jc w:val="center"/>
              <w:outlineLvl w:val="9"/>
              <w:rPr>
                <w:rFonts w:hint="eastAsia" w:ascii="宋体" w:hAnsi="宋体" w:eastAsia="宋体" w:cs="宋体"/>
                <w:b/>
                <w:color w:val="auto"/>
                <w:sz w:val="21"/>
                <w:szCs w:val="21"/>
              </w:rPr>
            </w:pPr>
            <w:r>
              <w:rPr>
                <w:rFonts w:hint="eastAsia" w:ascii="宋体" w:hAnsi="宋体" w:eastAsia="宋体" w:cs="宋体"/>
                <w:color w:val="auto"/>
                <w:kern w:val="0"/>
                <w:sz w:val="21"/>
                <w:szCs w:val="21"/>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0" w:hRule="atLeast"/>
        </w:trPr>
        <w:tc>
          <w:tcPr>
            <w:tcW w:w="588" w:type="pct"/>
            <w:vMerge w:val="restart"/>
            <w:textDirection w:val="tbRlV"/>
            <w:vAlign w:val="center"/>
          </w:tcPr>
          <w:p>
            <w:pPr>
              <w:pageBreakBefore w:val="0"/>
              <w:kinsoku/>
              <w:overflowPunct/>
              <w:topLinePunct w:val="0"/>
              <w:bidi w:val="0"/>
              <w:jc w:val="center"/>
              <w:outlineLvl w:val="9"/>
              <w:rPr>
                <w:rFonts w:hint="eastAsia" w:ascii="宋体" w:hAnsi="宋体" w:eastAsia="宋体" w:cs="宋体"/>
                <w:b/>
                <w:color w:val="auto"/>
                <w:sz w:val="21"/>
                <w:szCs w:val="21"/>
              </w:rPr>
            </w:pPr>
            <w:r>
              <w:rPr>
                <w:rFonts w:hint="eastAsia" w:ascii="宋体" w:hAnsi="宋体" w:eastAsia="宋体" w:cs="宋体"/>
                <w:bCs/>
                <w:color w:val="auto"/>
                <w:kern w:val="0"/>
                <w:sz w:val="21"/>
                <w:szCs w:val="21"/>
              </w:rPr>
              <w:t>作业风险分析及预控措施</w:t>
            </w:r>
          </w:p>
        </w:tc>
        <w:tc>
          <w:tcPr>
            <w:tcW w:w="828" w:type="pct"/>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触电</w:t>
            </w:r>
          </w:p>
        </w:tc>
        <w:tc>
          <w:tcPr>
            <w:tcW w:w="2842" w:type="pct"/>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电房内其他带电设备严禁触摸，严禁跨越安全围栏</w:t>
            </w:r>
          </w:p>
        </w:tc>
        <w:tc>
          <w:tcPr>
            <w:tcW w:w="740" w:type="pct"/>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0" w:hRule="atLeast"/>
        </w:trPr>
        <w:tc>
          <w:tcPr>
            <w:tcW w:w="588" w:type="pct"/>
            <w:vMerge w:val="continue"/>
            <w:textDirection w:val="tbRlV"/>
            <w:vAlign w:val="center"/>
          </w:tcPr>
          <w:p>
            <w:pPr>
              <w:pageBreakBefore w:val="0"/>
              <w:kinsoku/>
              <w:overflowPunct/>
              <w:topLinePunct w:val="0"/>
              <w:bidi w:val="0"/>
              <w:outlineLvl w:val="9"/>
              <w:rPr>
                <w:rFonts w:hint="eastAsia" w:ascii="宋体" w:hAnsi="宋体" w:eastAsia="宋体" w:cs="宋体"/>
                <w:b/>
                <w:color w:val="auto"/>
                <w:sz w:val="21"/>
                <w:szCs w:val="21"/>
              </w:rPr>
            </w:pPr>
          </w:p>
        </w:tc>
        <w:tc>
          <w:tcPr>
            <w:tcW w:w="828" w:type="pct"/>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扎脚、摔伤</w:t>
            </w:r>
          </w:p>
        </w:tc>
        <w:tc>
          <w:tcPr>
            <w:tcW w:w="2842" w:type="pct"/>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穿工作服，佩戴安全帽、棉质手套；严禁穿凉鞋、拖鞋</w:t>
            </w:r>
          </w:p>
        </w:tc>
        <w:tc>
          <w:tcPr>
            <w:tcW w:w="740" w:type="pct"/>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0" w:hRule="atLeast"/>
        </w:trPr>
        <w:tc>
          <w:tcPr>
            <w:tcW w:w="588" w:type="pct"/>
            <w:vMerge w:val="continue"/>
            <w:textDirection w:val="tbRlV"/>
            <w:vAlign w:val="center"/>
          </w:tcPr>
          <w:p>
            <w:pPr>
              <w:pageBreakBefore w:val="0"/>
              <w:kinsoku/>
              <w:overflowPunct/>
              <w:topLinePunct w:val="0"/>
              <w:bidi w:val="0"/>
              <w:outlineLvl w:val="9"/>
              <w:rPr>
                <w:rFonts w:hint="eastAsia" w:ascii="宋体" w:hAnsi="宋体" w:eastAsia="宋体" w:cs="宋体"/>
                <w:b/>
                <w:color w:val="auto"/>
                <w:sz w:val="21"/>
                <w:szCs w:val="21"/>
              </w:rPr>
            </w:pPr>
          </w:p>
        </w:tc>
        <w:tc>
          <w:tcPr>
            <w:tcW w:w="828" w:type="pct"/>
            <w:vMerge w:val="restart"/>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高处坠落</w:t>
            </w:r>
          </w:p>
        </w:tc>
        <w:tc>
          <w:tcPr>
            <w:tcW w:w="2842" w:type="pct"/>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验收过程中应有其他人员陪同或监护</w:t>
            </w:r>
          </w:p>
        </w:tc>
        <w:tc>
          <w:tcPr>
            <w:tcW w:w="740" w:type="pct"/>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30" w:hRule="atLeast"/>
        </w:trPr>
        <w:tc>
          <w:tcPr>
            <w:tcW w:w="588" w:type="pct"/>
            <w:vMerge w:val="continue"/>
            <w:textDirection w:val="tbRlV"/>
            <w:vAlign w:val="center"/>
          </w:tcPr>
          <w:p>
            <w:pPr>
              <w:pageBreakBefore w:val="0"/>
              <w:kinsoku/>
              <w:overflowPunct/>
              <w:topLinePunct w:val="0"/>
              <w:bidi w:val="0"/>
              <w:outlineLvl w:val="9"/>
              <w:rPr>
                <w:rFonts w:hint="eastAsia" w:ascii="宋体" w:hAnsi="宋体" w:eastAsia="宋体" w:cs="宋体"/>
                <w:b/>
                <w:color w:val="auto"/>
                <w:sz w:val="21"/>
                <w:szCs w:val="21"/>
              </w:rPr>
            </w:pPr>
          </w:p>
        </w:tc>
        <w:tc>
          <w:tcPr>
            <w:tcW w:w="828" w:type="pct"/>
            <w:vMerge w:val="continue"/>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2842" w:type="pct"/>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注意操作平台台阶和高处平台，严防踏空</w:t>
            </w:r>
          </w:p>
        </w:tc>
        <w:tc>
          <w:tcPr>
            <w:tcW w:w="740" w:type="pct"/>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确认（）</w:t>
            </w:r>
          </w:p>
        </w:tc>
      </w:tr>
    </w:tbl>
    <w:p>
      <w:pPr>
        <w:pageBreakBefore w:val="0"/>
        <w:kinsoku/>
        <w:overflowPunct/>
        <w:topLinePunct w:val="0"/>
        <w:bidi w:val="0"/>
        <w:spacing w:line="480" w:lineRule="auto"/>
        <w:outlineLvl w:val="9"/>
        <w:rPr>
          <w:rFonts w:hint="eastAsia" w:ascii="宋体" w:hAnsi="宋体" w:eastAsia="宋体" w:cs="宋体"/>
          <w:b/>
          <w:color w:val="auto"/>
          <w:kern w:val="0"/>
          <w:sz w:val="21"/>
          <w:szCs w:val="21"/>
        </w:rPr>
      </w:pPr>
    </w:p>
    <w:p>
      <w:pPr>
        <w:pageBreakBefore w:val="0"/>
        <w:kinsoku/>
        <w:overflowPunct/>
        <w:topLinePunct w:val="0"/>
        <w:bidi w:val="0"/>
        <w:spacing w:line="480" w:lineRule="auto"/>
        <w:outlineLvl w:val="1"/>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五、验收作业过程</w:t>
      </w:r>
    </w:p>
    <w:tbl>
      <w:tblPr>
        <w:tblStyle w:val="13"/>
        <w:tblW w:w="4997" w:type="pct"/>
        <w:tblInd w:w="0" w:type="dxa"/>
        <w:tblLayout w:type="autofit"/>
        <w:tblCellMar>
          <w:top w:w="0" w:type="dxa"/>
          <w:left w:w="0" w:type="dxa"/>
          <w:bottom w:w="0" w:type="dxa"/>
          <w:right w:w="0" w:type="dxa"/>
        </w:tblCellMar>
      </w:tblPr>
      <w:tblGrid>
        <w:gridCol w:w="1586"/>
        <w:gridCol w:w="703"/>
        <w:gridCol w:w="4221"/>
        <w:gridCol w:w="1280"/>
        <w:gridCol w:w="1285"/>
      </w:tblGrid>
      <w:tr>
        <w:tblPrEx>
          <w:tblCellMar>
            <w:top w:w="0" w:type="dxa"/>
            <w:left w:w="0" w:type="dxa"/>
            <w:bottom w:w="0" w:type="dxa"/>
            <w:right w:w="0" w:type="dxa"/>
          </w:tblCellMar>
        </w:tblPrEx>
        <w:trPr>
          <w:trHeight w:val="753" w:hRule="exact"/>
          <w:tblHeader/>
        </w:trPr>
        <w:tc>
          <w:tcPr>
            <w:tcW w:w="874"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检查项目</w:t>
            </w: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pacing w:val="1"/>
                <w:kern w:val="0"/>
                <w:sz w:val="21"/>
                <w:szCs w:val="21"/>
              </w:rPr>
            </w:pPr>
            <w:r>
              <w:rPr>
                <w:rFonts w:hint="eastAsia" w:ascii="宋体" w:hAnsi="宋体" w:eastAsia="宋体" w:cs="宋体"/>
                <w:color w:val="auto"/>
                <w:sz w:val="21"/>
                <w:szCs w:val="21"/>
              </w:rPr>
              <w:t>序号</w:t>
            </w:r>
          </w:p>
        </w:tc>
        <w:tc>
          <w:tcPr>
            <w:tcW w:w="232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pacing w:val="1"/>
                <w:kern w:val="0"/>
                <w:sz w:val="21"/>
                <w:szCs w:val="21"/>
              </w:rPr>
            </w:pPr>
            <w:r>
              <w:rPr>
                <w:rFonts w:hint="eastAsia" w:ascii="宋体" w:hAnsi="宋体" w:eastAsia="宋体" w:cs="宋体"/>
                <w:color w:val="auto"/>
                <w:sz w:val="21"/>
                <w:szCs w:val="21"/>
              </w:rPr>
              <w:t>具体内容</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spacing w:line="259" w:lineRule="exact"/>
              <w:ind w:right="-20"/>
              <w:jc w:val="center"/>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是否符合要求</w:t>
            </w: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ind w:right="-20"/>
              <w:jc w:val="center"/>
              <w:outlineLvl w:val="9"/>
              <w:rPr>
                <w:rFonts w:hint="eastAsia" w:ascii="宋体" w:hAnsi="宋体" w:eastAsia="宋体" w:cs="宋体"/>
                <w:color w:val="auto"/>
                <w:kern w:val="0"/>
                <w:sz w:val="21"/>
                <w:szCs w:val="21"/>
              </w:rPr>
            </w:pPr>
            <w:r>
              <w:rPr>
                <w:rFonts w:hint="eastAsia" w:ascii="宋体" w:hAnsi="宋体" w:eastAsia="宋体" w:cs="宋体"/>
                <w:color w:val="auto"/>
                <w:spacing w:val="1"/>
                <w:kern w:val="0"/>
                <w:sz w:val="21"/>
                <w:szCs w:val="21"/>
              </w:rPr>
              <w:t>备注</w:t>
            </w:r>
          </w:p>
        </w:tc>
      </w:tr>
      <w:tr>
        <w:tblPrEx>
          <w:tblCellMar>
            <w:top w:w="0" w:type="dxa"/>
            <w:left w:w="0" w:type="dxa"/>
            <w:bottom w:w="0" w:type="dxa"/>
            <w:right w:w="0" w:type="dxa"/>
          </w:tblCellMar>
        </w:tblPrEx>
        <w:trPr>
          <w:trHeight w:val="492" w:hRule="atLeast"/>
        </w:trPr>
        <w:tc>
          <w:tcPr>
            <w:tcW w:w="874" w:type="pct"/>
            <w:vMerge w:val="restart"/>
            <w:tcBorders>
              <w:top w:val="single" w:color="000000" w:sz="4" w:space="0"/>
              <w:left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门窗、通道</w:t>
            </w: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32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电房（包含开关站、开闭所、配电站（室）、室内环网柜等，下同）</w:t>
            </w:r>
            <w:r>
              <w:rPr>
                <w:rFonts w:hint="eastAsia" w:ascii="宋体" w:hAnsi="宋体" w:eastAsia="宋体" w:cs="宋体"/>
                <w:color w:val="auto"/>
                <w:sz w:val="21"/>
                <w:szCs w:val="21"/>
                <w:lang w:val="en-US" w:eastAsia="zh-CN"/>
              </w:rPr>
              <w:t>通向相邻房间的应设甲级防火门，通向过道的</w:t>
            </w:r>
            <w:r>
              <w:rPr>
                <w:rFonts w:hint="eastAsia" w:ascii="宋体" w:hAnsi="宋体" w:eastAsia="宋体" w:cs="宋体"/>
                <w:color w:val="auto"/>
                <w:sz w:val="21"/>
                <w:szCs w:val="21"/>
              </w:rPr>
              <w:t>应设</w:t>
            </w:r>
            <w:r>
              <w:rPr>
                <w:rFonts w:hint="eastAsia" w:ascii="宋体" w:hAnsi="宋体" w:eastAsia="宋体" w:cs="宋体"/>
                <w:color w:val="auto"/>
                <w:sz w:val="21"/>
                <w:szCs w:val="21"/>
                <w:lang w:val="en-US" w:eastAsia="zh-CN"/>
              </w:rPr>
              <w:t>乙</w:t>
            </w:r>
            <w:r>
              <w:rPr>
                <w:rFonts w:hint="eastAsia" w:ascii="宋体" w:hAnsi="宋体" w:eastAsia="宋体" w:cs="宋体"/>
                <w:color w:val="auto"/>
                <w:sz w:val="21"/>
                <w:szCs w:val="21"/>
              </w:rPr>
              <w:t>级防火门并向外开启。</w:t>
            </w:r>
          </w:p>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大门尺寸：270cm×150cm×4-5cm</w:t>
            </w:r>
          </w:p>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或配电装置室及变压器室门的宽度宜按最大不可拆卸部件宽度加0.3m，高度宜按不可拆卸部件最大高度加0.5m。</w:t>
            </w:r>
          </w:p>
          <w:p>
            <w:pPr>
              <w:pageBreakBefore w:val="0"/>
              <w:kinsoku/>
              <w:overflowPunct/>
              <w:topLinePunct w:val="0"/>
              <w:bidi w:val="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配电房长度大于7米时，应增设一个配电房门，要求同上。</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民用建筑电气设计标准</w:t>
            </w:r>
          </w:p>
        </w:tc>
      </w:tr>
      <w:tr>
        <w:tblPrEx>
          <w:tblCellMar>
            <w:top w:w="0" w:type="dxa"/>
            <w:left w:w="0" w:type="dxa"/>
            <w:bottom w:w="0" w:type="dxa"/>
            <w:right w:w="0" w:type="dxa"/>
          </w:tblCellMar>
        </w:tblPrEx>
        <w:tc>
          <w:tcPr>
            <w:tcW w:w="874" w:type="pct"/>
            <w:vMerge w:val="continue"/>
            <w:tcBorders>
              <w:left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232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★当配电房设置在建筑物内时，应满足荷载要求并应设有运输通道。配电房设备运输通道应满足净空高度</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小于3.5m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净宽满足设备通道</w:t>
            </w:r>
            <w:r>
              <w:rPr>
                <w:rFonts w:hint="eastAsia" w:ascii="宋体" w:hAnsi="宋体" w:eastAsia="宋体" w:cs="宋体"/>
                <w:color w:val="auto"/>
                <w:sz w:val="21"/>
                <w:szCs w:val="21"/>
              </w:rPr>
              <w:t>，装备重量为3500kg的车辆通行。当其通道为吊装孔或吊装平台时，其吊装孔和平台的尺寸应满足吊装最大设备的需要，吊钩与吊装孔的垂直距离应满足吊装最高设备的需要。</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904" w:hRule="atLeast"/>
        </w:trPr>
        <w:tc>
          <w:tcPr>
            <w:tcW w:w="874" w:type="pct"/>
            <w:vMerge w:val="continue"/>
            <w:tcBorders>
              <w:left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232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有时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窗户应采纳塑钢窗，窗外测加装孔钢板网（孔洞小于1公分），不锈钢防盗窗，门窗应密切不留空隙。</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电房主体</w:t>
            </w: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32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★电房建筑屋面主体结构为钢筋混泥土框架结构、现浇楼板，独立注基础。</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tblPrEx>
          <w:tblCellMar>
            <w:top w:w="0" w:type="dxa"/>
            <w:left w:w="0" w:type="dxa"/>
            <w:bottom w:w="0" w:type="dxa"/>
            <w:right w:w="0" w:type="dxa"/>
          </w:tblCellMar>
        </w:tblPrEx>
        <w:tc>
          <w:tcPr>
            <w:tcW w:w="874"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232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FF0000"/>
                <w:kern w:val="0"/>
                <w:sz w:val="21"/>
                <w:szCs w:val="21"/>
              </w:rPr>
            </w:pPr>
            <w:r>
              <w:rPr>
                <w:rFonts w:hint="eastAsia" w:ascii="宋体" w:hAnsi="宋体" w:eastAsia="宋体" w:cs="宋体"/>
                <w:color w:val="FF0000"/>
                <w:sz w:val="21"/>
                <w:szCs w:val="21"/>
              </w:rPr>
              <w:t>★</w:t>
            </w:r>
            <w:r>
              <w:rPr>
                <w:rFonts w:hint="eastAsia" w:ascii="宋体" w:hAnsi="宋体" w:eastAsia="宋体" w:cs="宋体"/>
                <w:strike/>
                <w:dstrike w:val="0"/>
                <w:color w:val="FF0000"/>
                <w:sz w:val="21"/>
                <w:szCs w:val="21"/>
              </w:rPr>
              <w:t>配电房室内地面应比室外地面高出150m-300mm，</w:t>
            </w:r>
            <w:r>
              <w:rPr>
                <w:rFonts w:hint="eastAsia" w:ascii="宋体" w:hAnsi="宋体" w:eastAsia="宋体" w:cs="宋体"/>
                <w:color w:val="FF0000"/>
                <w:sz w:val="21"/>
                <w:szCs w:val="21"/>
              </w:rPr>
              <w:t>配电房不应设置在低洼、容易积水的场所。</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FF0000"/>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20230703</w:t>
            </w:r>
          </w:p>
          <w:p>
            <w:pPr>
              <w:pageBreakBefore w:val="0"/>
              <w:widowControl/>
              <w:kinsoku/>
              <w:overflowPunct/>
              <w:topLinePunct w:val="0"/>
              <w:bidi w:val="0"/>
              <w:jc w:val="center"/>
              <w:outlineLvl w:val="9"/>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删除</w:t>
            </w:r>
          </w:p>
        </w:tc>
      </w:tr>
      <w:tr>
        <w:tblPrEx>
          <w:tblCellMar>
            <w:top w:w="0" w:type="dxa"/>
            <w:left w:w="0" w:type="dxa"/>
            <w:bottom w:w="0" w:type="dxa"/>
            <w:right w:w="0" w:type="dxa"/>
          </w:tblCellMar>
        </w:tblPrEx>
        <w:tc>
          <w:tcPr>
            <w:tcW w:w="874"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232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设于地下室的电房，应有完好的自动抽排水、气装置，应在进出门口设0.5米高防备水外流水排入的混凝土门槛。配电房的电缆沟、电缆夹层和电缆室，应采取防水、排水措施。</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2325" w:type="pct"/>
            <w:tcBorders>
              <w:top w:val="single" w:color="000000" w:sz="4" w:space="0"/>
              <w:left w:val="single" w:color="000000" w:sz="4" w:space="0"/>
              <w:bottom w:val="single" w:color="000000" w:sz="4" w:space="0"/>
              <w:right w:val="single" w:color="000000" w:sz="4" w:space="0"/>
            </w:tcBorders>
          </w:tcPr>
          <w:p>
            <w:pPr>
              <w:pageBreakBefore w:val="0"/>
              <w:widowControl/>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配电房每个门口配置手提式干粉灭火器2只，并固定安置。每台油变周围配备6只阻火包1只干粉灭火器。</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tblPrEx>
          <w:tblCellMar>
            <w:top w:w="0" w:type="dxa"/>
            <w:left w:w="0" w:type="dxa"/>
            <w:bottom w:w="0" w:type="dxa"/>
            <w:right w:w="0" w:type="dxa"/>
          </w:tblCellMar>
        </w:tblPrEx>
        <w:tc>
          <w:tcPr>
            <w:tcW w:w="874"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2325" w:type="pct"/>
            <w:tcBorders>
              <w:top w:val="single" w:color="000000" w:sz="4" w:space="0"/>
              <w:left w:val="single" w:color="000000" w:sz="4" w:space="0"/>
              <w:bottom w:val="single" w:color="000000" w:sz="4" w:space="0"/>
              <w:right w:val="single" w:color="000000" w:sz="4" w:space="0"/>
            </w:tcBorders>
          </w:tcPr>
          <w:p>
            <w:pPr>
              <w:pageBreakBefore w:val="0"/>
              <w:widowControl/>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配电装置室内宜留有适量的备用位置，备用位置至少需满足远期负荷增长需求和智能化改造需求。</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tblPrEx>
          <w:tblCellMar>
            <w:top w:w="0" w:type="dxa"/>
            <w:left w:w="0" w:type="dxa"/>
            <w:bottom w:w="0" w:type="dxa"/>
            <w:right w:w="0" w:type="dxa"/>
          </w:tblCellMar>
        </w:tblPrEx>
        <w:tc>
          <w:tcPr>
            <w:tcW w:w="874"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2325" w:type="pct"/>
            <w:tcBorders>
              <w:top w:val="single" w:color="000000" w:sz="4" w:space="0"/>
              <w:left w:val="single" w:color="000000" w:sz="4" w:space="0"/>
              <w:bottom w:val="single" w:color="000000" w:sz="4" w:space="0"/>
              <w:right w:val="single" w:color="000000" w:sz="4" w:space="0"/>
            </w:tcBorders>
          </w:tcPr>
          <w:p>
            <w:pPr>
              <w:pageBreakBefore w:val="0"/>
              <w:widowControl/>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★电房子顶及各面墙壁不该有渗水、开裂、斑驳等现象。</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tblPrEx>
          <w:tblCellMar>
            <w:top w:w="0" w:type="dxa"/>
            <w:left w:w="0" w:type="dxa"/>
            <w:bottom w:w="0" w:type="dxa"/>
            <w:right w:w="0" w:type="dxa"/>
          </w:tblCellMar>
        </w:tblPrEx>
        <w:tc>
          <w:tcPr>
            <w:tcW w:w="874"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2325" w:type="pct"/>
            <w:tcBorders>
              <w:top w:val="single" w:color="000000" w:sz="4" w:space="0"/>
              <w:left w:val="single" w:color="000000" w:sz="4" w:space="0"/>
              <w:bottom w:val="single" w:color="000000" w:sz="4" w:space="0"/>
              <w:right w:val="single" w:color="000000" w:sz="4" w:space="0"/>
            </w:tcBorders>
          </w:tcPr>
          <w:p>
            <w:pPr>
              <w:pageBreakBefore w:val="0"/>
              <w:widowControl/>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★配电房内不应设置裸露带电导体或装置，不应设置带可燃性油的电气设备和变压器，不得有排水管、排污管。配电装置与建筑物间距须满足正常检修和操作要求。</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tblPrEx>
          <w:tblCellMar>
            <w:top w:w="0" w:type="dxa"/>
            <w:left w:w="0" w:type="dxa"/>
            <w:bottom w:w="0" w:type="dxa"/>
            <w:right w:w="0" w:type="dxa"/>
          </w:tblCellMar>
        </w:tblPrEx>
        <w:tc>
          <w:tcPr>
            <w:tcW w:w="874"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2325" w:type="pct"/>
            <w:tcBorders>
              <w:top w:val="single" w:color="000000" w:sz="4" w:space="0"/>
              <w:left w:val="single" w:color="000000" w:sz="4" w:space="0"/>
              <w:bottom w:val="single" w:color="000000" w:sz="4" w:space="0"/>
              <w:right w:val="single" w:color="000000" w:sz="4" w:space="0"/>
            </w:tcBorders>
          </w:tcPr>
          <w:p>
            <w:pPr>
              <w:pageBreakBefore w:val="0"/>
              <w:widowControl/>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w:t>
            </w:r>
            <w:r>
              <w:rPr>
                <w:rFonts w:hint="eastAsia" w:ascii="宋体" w:hAnsi="宋体" w:eastAsia="宋体" w:cs="宋体"/>
                <w:color w:val="auto"/>
                <w:sz w:val="21"/>
                <w:szCs w:val="21"/>
                <w:lang w:val="en-US" w:eastAsia="zh-CN"/>
              </w:rPr>
              <w:t>房</w:t>
            </w:r>
            <w:r>
              <w:rPr>
                <w:rFonts w:hint="eastAsia" w:ascii="宋体" w:hAnsi="宋体" w:eastAsia="宋体" w:cs="宋体"/>
                <w:color w:val="auto"/>
                <w:sz w:val="21"/>
                <w:szCs w:val="21"/>
              </w:rPr>
              <w:t>的内墙表面应粉刷白色涂料，地面应刷绝缘地坪漆，地面为绿色，墙面为蓝色且高度不应低于1.5米。</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配套安健环负责</w:t>
            </w:r>
          </w:p>
        </w:tc>
      </w:tr>
      <w:tr>
        <w:tblPrEx>
          <w:tblCellMar>
            <w:top w:w="0" w:type="dxa"/>
            <w:left w:w="0" w:type="dxa"/>
            <w:bottom w:w="0" w:type="dxa"/>
            <w:right w:w="0" w:type="dxa"/>
          </w:tblCellMar>
        </w:tblPrEx>
        <w:tc>
          <w:tcPr>
            <w:tcW w:w="874"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w:t>
            </w:r>
          </w:p>
        </w:tc>
        <w:tc>
          <w:tcPr>
            <w:tcW w:w="2325" w:type="pct"/>
            <w:tcBorders>
              <w:top w:val="single" w:color="000000" w:sz="4" w:space="0"/>
              <w:left w:val="single" w:color="000000" w:sz="4" w:space="0"/>
              <w:bottom w:val="single" w:color="000000" w:sz="4" w:space="0"/>
              <w:right w:val="single" w:color="000000" w:sz="4" w:space="0"/>
            </w:tcBorders>
          </w:tcPr>
          <w:p>
            <w:pPr>
              <w:pageBreakBefore w:val="0"/>
              <w:widowControl/>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屋内配电装置距顶板的距离不宜小于1.0m,当有梁时，距梁底不宜小于0.8m。电气设备正上方不宜布置与进出线无关的设施。</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2325" w:type="pct"/>
            <w:tcBorders>
              <w:top w:val="single" w:color="000000" w:sz="4" w:space="0"/>
              <w:left w:val="single" w:color="000000" w:sz="4" w:space="0"/>
              <w:bottom w:val="single" w:color="000000" w:sz="4" w:space="0"/>
              <w:right w:val="single" w:color="000000" w:sz="4" w:space="0"/>
            </w:tcBorders>
          </w:tcPr>
          <w:p>
            <w:pPr>
              <w:pageBreakBefore w:val="0"/>
              <w:widowControl/>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设备基础高于地面影响操作时，应增设水泥操作平台，宽度不应低于80cm。</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2325" w:type="pct"/>
            <w:tcBorders>
              <w:top w:val="single" w:color="000000" w:sz="4" w:space="0"/>
              <w:left w:val="single" w:color="000000" w:sz="4" w:space="0"/>
              <w:bottom w:val="single" w:color="000000" w:sz="4" w:space="0"/>
              <w:right w:val="single" w:color="000000" w:sz="4" w:space="0"/>
            </w:tcBorders>
          </w:tcPr>
          <w:p>
            <w:pPr>
              <w:pageBreakBefore w:val="0"/>
              <w:widowControl/>
              <w:kinsoku/>
              <w:overflowPunct/>
              <w:topLinePunct w:val="0"/>
              <w:bidi w:val="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★强电和弱电线路，宜分别设置竖井。当受条件限制必须合用时，强电和弱电线路应分别布置在竖井两侧，弱电线路应敷设于金属槽盒之内。竖井内还应预留远期该楼层内所有用户电表安装位置。</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照明灯</w:t>
            </w: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325" w:type="pc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室内照明电源应分别从两台变压器低压出线引出，控制箱部分应设置备自投装置。</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continue"/>
            <w:tcBorders>
              <w:left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2325" w:type="pc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室内照明应切合电房内照明度的设计要求，一致采纳工厂防爆照明灯，照明灯具尽量靠墙安装，不得使用带链条的灯具，在进出门应装设双控照明开关。</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983" w:hRule="atLeast"/>
        </w:trPr>
        <w:tc>
          <w:tcPr>
            <w:tcW w:w="874" w:type="pct"/>
            <w:vMerge w:val="continue"/>
            <w:tcBorders>
              <w:left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2325" w:type="pc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应急灯装设的高度应距离地面2m，室内应设置起码4盏应急灯（大门双侧各一盏，柜后左右各一盏），如用独立变压器房，变压器房应设置起码2盏。</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restart"/>
            <w:tcBorders>
              <w:top w:val="single" w:color="000000" w:sz="4" w:space="0"/>
              <w:left w:val="single" w:color="000000" w:sz="4" w:space="0"/>
              <w:right w:val="single" w:color="000000" w:sz="4" w:space="0"/>
            </w:tcBorders>
            <w:vAlign w:val="center"/>
          </w:tcPr>
          <w:p>
            <w:pPr>
              <w:pageBreakBefore w:val="0"/>
              <w:kinsoku/>
              <w:overflowPunct/>
              <w:topLinePunct w:val="0"/>
              <w:bidi w:val="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排气扇</w:t>
            </w:r>
          </w:p>
          <w:p>
            <w:pPr>
              <w:pageBreakBefore w:val="0"/>
              <w:widowControl/>
              <w:kinsoku/>
              <w:overflowPunct/>
              <w:topLinePunct w:val="0"/>
              <w:bidi w:val="0"/>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325" w:type="pc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电房须安装低噪音排风机并配温控自启、停装置：若配电室运转环境较差，没区间应加装一个低噪音圆桶式轴流分机，并加装温控器。</w:t>
            </w:r>
            <w:r>
              <w:rPr>
                <w:rFonts w:hint="eastAsia" w:ascii="宋体" w:hAnsi="宋体" w:eastAsia="宋体" w:cs="宋体"/>
                <w:color w:val="auto"/>
                <w:sz w:val="21"/>
                <w:szCs w:val="21"/>
                <w:lang w:val="en-US" w:eastAsia="zh-CN"/>
              </w:rPr>
              <w:t>如</w:t>
            </w:r>
            <w:r>
              <w:rPr>
                <w:rFonts w:hint="eastAsia" w:ascii="宋体" w:hAnsi="宋体" w:eastAsia="宋体" w:cs="宋体"/>
                <w:color w:val="auto"/>
                <w:sz w:val="21"/>
                <w:szCs w:val="21"/>
              </w:rPr>
              <w:t>高低压设备与变压器共室，起码应安装两台排风扇，排风扇应采纳圆筒式，配电室的风机应装设雨披，为防备小动物闯进，排气扇应加装不锈钢网罩，规格5mm×5mm。</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continue"/>
            <w:tcBorders>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2325" w:type="pc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装有六氟化硫（SF6）设备的配电装置的房间,低位区应配备事故排风装置。</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restart"/>
            <w:tcBorders>
              <w:top w:val="single" w:color="000000" w:sz="4" w:space="0"/>
              <w:left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接地装置</w:t>
            </w: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325" w:type="pc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接地线外露部门应涂刷黄绿相间的标记，应设置两点以上接电，丈量处应使用螺栓联结，并做成拱形。</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continue"/>
            <w:tcBorders>
              <w:left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2325" w:type="pc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电器设备的接地和重复接地共用一个地网，接地网应采纳40mm×4mm镀锌扁钢，沿墙面水平敷设，离地面高度为250-300mm，与墙面间隙为10-15mm</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continue"/>
            <w:tcBorders>
              <w:left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2325" w:type="pc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接地电阻的要求：电房不大于4欧姆，动力箱不大于10欧姆，明敷接地线应涂以用15-100mm宽度相等的黄色和绿色相间的条纹，在高、低压柜、变压器周围要设置适量的暂时检修的接地接线柱。</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restart"/>
            <w:tcBorders>
              <w:top w:val="single" w:color="000000" w:sz="4" w:space="0"/>
              <w:left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通道</w:t>
            </w: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w:t>
            </w:r>
          </w:p>
        </w:tc>
        <w:tc>
          <w:tcPr>
            <w:tcW w:w="232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室内桥架，线缆数量按公用柜、组网柜个数之和的4倍考虑，比如一台公用柜，不小于4线电缆桥架（600mm×200mm）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以此类推。</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continue"/>
            <w:tcBorders>
              <w:left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sz w:val="21"/>
                <w:szCs w:val="21"/>
                <w:lang w:val="en-US" w:eastAsia="zh-CN"/>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w:t>
            </w:r>
          </w:p>
        </w:tc>
        <w:tc>
          <w:tcPr>
            <w:tcW w:w="232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红线范围内埋管，线缆数量按公用柜、组网柜个数之和的4倍考虑，比如一台公用柜，不少于5线，其中4根敷设电缆管（ф150）、1根敷设光缆管（ф100），行车路面DN150涂塑钢管、行人路面DN150MPP管</w:t>
            </w:r>
          </w:p>
          <w:p>
            <w:pPr>
              <w:pageBreakBefore w:val="0"/>
              <w:kinsoku/>
              <w:overflowPunct/>
              <w:topLinePunct w:val="0"/>
              <w:bidi w:val="0"/>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。以此类推。</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continue"/>
            <w:tcBorders>
              <w:left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sz w:val="21"/>
                <w:szCs w:val="21"/>
                <w:lang w:val="en-US" w:eastAsia="zh-CN"/>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w:t>
            </w:r>
          </w:p>
        </w:tc>
        <w:tc>
          <w:tcPr>
            <w:tcW w:w="232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红线范围内电缆沟，线缆数量按公用柜、组网柜个数之和的4倍考虑，比如一台公用柜，不少于6线电缆沟920mm（宽）×1020mm（深）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以此类推。</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continue"/>
            <w:tcBorders>
              <w:left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sz w:val="21"/>
                <w:szCs w:val="21"/>
                <w:lang w:val="en-US" w:eastAsia="zh-CN"/>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4</w:t>
            </w:r>
          </w:p>
        </w:tc>
        <w:tc>
          <w:tcPr>
            <w:tcW w:w="232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红线范围内电缆井（以2层2列</w:t>
            </w:r>
            <w:r>
              <w:rPr>
                <w:rFonts w:hint="eastAsia" w:ascii="宋体" w:hAnsi="宋体" w:eastAsia="宋体" w:cs="宋体"/>
                <w:color w:val="auto"/>
                <w:sz w:val="21"/>
                <w:szCs w:val="21"/>
                <w:lang w:val="en-US" w:eastAsia="zh-CN"/>
              </w:rPr>
              <w:t>最小尺寸</w:t>
            </w:r>
            <w:r>
              <w:rPr>
                <w:rFonts w:hint="eastAsia" w:ascii="宋体" w:hAnsi="宋体" w:eastAsia="宋体" w:cs="宋体"/>
                <w:color w:val="auto"/>
                <w:sz w:val="21"/>
                <w:szCs w:val="21"/>
              </w:rPr>
              <w:t>为例）：</w:t>
            </w:r>
          </w:p>
          <w:p>
            <w:pPr>
              <w:pageBreakBefore w:val="0"/>
              <w:kinsoku/>
              <w:overflowPunct/>
              <w:topLinePunct w:val="0"/>
              <w:bidi w:val="0"/>
              <w:outlineLvl w:val="9"/>
              <w:rPr>
                <w:rFonts w:hint="eastAsia" w:ascii="宋体" w:hAnsi="宋体" w:eastAsia="宋体" w:cs="宋体"/>
                <w:color w:val="auto"/>
                <w:sz w:val="21"/>
                <w:szCs w:val="21"/>
                <w:lang w:val="en-US"/>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 1 \* GB3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①</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t>直线井：</w:t>
            </w:r>
            <w:r>
              <w:rPr>
                <w:rFonts w:hint="eastAsia" w:ascii="宋体" w:hAnsi="宋体" w:eastAsia="宋体" w:cs="宋体"/>
                <w:color w:val="auto"/>
                <w:sz w:val="21"/>
                <w:szCs w:val="21"/>
                <w:lang w:val="en-US" w:eastAsia="zh-CN"/>
              </w:rPr>
              <w:t>1.1（宽）*5块盖板（长）*1.07（深）米</w:t>
            </w:r>
          </w:p>
          <w:p>
            <w:pPr>
              <w:pageBreakBefore w:val="0"/>
              <w:kinsoku/>
              <w:overflowPunct/>
              <w:topLinePunct w:val="0"/>
              <w:bidi w:val="0"/>
              <w:outlineLvl w:val="9"/>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②转角</w:t>
            </w:r>
            <w:r>
              <w:rPr>
                <w:rFonts w:hint="eastAsia" w:ascii="宋体" w:hAnsi="宋体" w:eastAsia="宋体" w:cs="宋体"/>
                <w:color w:val="auto"/>
                <w:sz w:val="21"/>
                <w:szCs w:val="21"/>
              </w:rPr>
              <w:t>井：</w:t>
            </w:r>
            <w:r>
              <w:rPr>
                <w:rFonts w:hint="eastAsia" w:ascii="宋体" w:hAnsi="宋体" w:eastAsia="宋体" w:cs="宋体"/>
                <w:color w:val="auto"/>
                <w:sz w:val="21"/>
                <w:szCs w:val="21"/>
                <w:lang w:val="en-US" w:eastAsia="zh-CN"/>
              </w:rPr>
              <w:t>1.1（宽）*5块盖板（长）*1.07（深）米+1.1（宽）*2块盖板（长）*1.07（深）</w:t>
            </w:r>
          </w:p>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③三通</w:t>
            </w:r>
            <w:r>
              <w:rPr>
                <w:rFonts w:hint="eastAsia" w:ascii="宋体" w:hAnsi="宋体" w:eastAsia="宋体" w:cs="宋体"/>
                <w:color w:val="auto"/>
                <w:sz w:val="21"/>
                <w:szCs w:val="21"/>
              </w:rPr>
              <w:t>井：</w:t>
            </w:r>
            <w:r>
              <w:rPr>
                <w:rFonts w:hint="eastAsia" w:ascii="宋体" w:hAnsi="宋体" w:eastAsia="宋体" w:cs="宋体"/>
                <w:color w:val="auto"/>
                <w:sz w:val="21"/>
                <w:szCs w:val="21"/>
                <w:lang w:val="en-US" w:eastAsia="zh-CN"/>
              </w:rPr>
              <w:t>1.1（宽）*5块盖板（长）*1.07（深）米+1.1（宽）*2块盖板（长）*1.07（深）+1.1（宽）*2块盖板（长）*1.07（深）</w:t>
            </w:r>
          </w:p>
          <w:p>
            <w:pPr>
              <w:pageBreakBefore w:val="0"/>
              <w:kinsoku/>
              <w:overflowPunct/>
              <w:topLinePunct w:val="0"/>
              <w:bidi w:val="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④中间头井：1.1（宽）*9块盖板（长）*1.07（深）米</w:t>
            </w:r>
          </w:p>
          <w:p>
            <w:pPr>
              <w:pageBreakBefore w:val="0"/>
              <w:kinsoku/>
              <w:overflowPunct/>
              <w:topLinePunct w:val="0"/>
              <w:bidi w:val="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注：井口应有预制圈梁，底部应有底板，非行车路面盖板厚度为0.1米，行车路面盖板厚度为0.3米。</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restart"/>
            <w:tcBorders>
              <w:top w:val="single" w:color="000000" w:sz="4" w:space="0"/>
              <w:left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其他</w:t>
            </w: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32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设于地下室的电房，应有完好的自动抽排水、气装置，应在进出门口设0.5米高防备水外流水排入的混凝土门槛。配电房的电缆沟、电缆夹层和电缆室，应采取防水、排水措施。</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tblPrEx>
          <w:tblCellMar>
            <w:top w:w="0" w:type="dxa"/>
            <w:left w:w="0" w:type="dxa"/>
            <w:bottom w:w="0" w:type="dxa"/>
            <w:right w:w="0" w:type="dxa"/>
          </w:tblCellMar>
        </w:tblPrEx>
        <w:tc>
          <w:tcPr>
            <w:tcW w:w="874" w:type="pct"/>
            <w:vMerge w:val="continue"/>
            <w:tcBorders>
              <w:left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232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母排</w:t>
            </w:r>
            <w:r>
              <w:rPr>
                <w:rFonts w:hint="eastAsia" w:ascii="宋体" w:hAnsi="宋体" w:eastAsia="宋体" w:cs="宋体"/>
                <w:color w:val="auto"/>
                <w:sz w:val="21"/>
                <w:szCs w:val="21"/>
                <w:lang w:val="en-US" w:eastAsia="zh-CN"/>
              </w:rPr>
              <w:t>穿墙</w:t>
            </w:r>
            <w:r>
              <w:rPr>
                <w:rFonts w:hint="eastAsia" w:ascii="宋体" w:hAnsi="宋体" w:eastAsia="宋体" w:cs="宋体"/>
                <w:color w:val="auto"/>
                <w:sz w:val="21"/>
                <w:szCs w:val="21"/>
              </w:rPr>
              <w:t>处应采纳绝缘隔板、穿墙</w:t>
            </w:r>
            <w:r>
              <w:rPr>
                <w:rFonts w:hint="eastAsia" w:ascii="宋体" w:hAnsi="宋体" w:eastAsia="宋体" w:cs="宋体"/>
                <w:color w:val="auto"/>
                <w:sz w:val="21"/>
                <w:szCs w:val="21"/>
                <w:lang w:val="en-US" w:eastAsia="zh-CN"/>
              </w:rPr>
              <w:t>母排</w:t>
            </w:r>
            <w:r>
              <w:rPr>
                <w:rFonts w:hint="eastAsia" w:ascii="宋体" w:hAnsi="宋体" w:eastAsia="宋体" w:cs="宋体"/>
                <w:color w:val="auto"/>
                <w:sz w:val="21"/>
                <w:szCs w:val="21"/>
              </w:rPr>
              <w:t>支撑点不应超出1m 。</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r>
      <w:tr>
        <w:tblPrEx>
          <w:tblCellMar>
            <w:top w:w="0" w:type="dxa"/>
            <w:left w:w="0" w:type="dxa"/>
            <w:bottom w:w="0" w:type="dxa"/>
            <w:right w:w="0" w:type="dxa"/>
          </w:tblCellMar>
        </w:tblPrEx>
        <w:tc>
          <w:tcPr>
            <w:tcW w:w="874" w:type="pct"/>
            <w:vMerge w:val="continue"/>
            <w:tcBorders>
              <w:left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232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电房内不应该装有客户计量装置电表及开关，室内应洁净。</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tblPrEx>
          <w:tblCellMar>
            <w:top w:w="0" w:type="dxa"/>
            <w:left w:w="0" w:type="dxa"/>
            <w:bottom w:w="0" w:type="dxa"/>
            <w:right w:w="0" w:type="dxa"/>
          </w:tblCellMar>
        </w:tblPrEx>
        <w:tc>
          <w:tcPr>
            <w:tcW w:w="874" w:type="pct"/>
            <w:vMerge w:val="continue"/>
            <w:tcBorders>
              <w:left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232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电缆沟盖板及其承载力应满足设计要求，全部盖板应完好无损、无松动、不平整等情况。</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tblPrEx>
          <w:tblCellMar>
            <w:top w:w="0" w:type="dxa"/>
            <w:left w:w="0" w:type="dxa"/>
            <w:bottom w:w="0" w:type="dxa"/>
            <w:right w:w="0" w:type="dxa"/>
          </w:tblCellMar>
        </w:tblPrEx>
        <w:tc>
          <w:tcPr>
            <w:tcW w:w="874" w:type="pct"/>
            <w:vMerge w:val="continue"/>
            <w:tcBorders>
              <w:left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p>
        </w:tc>
        <w:tc>
          <w:tcPr>
            <w:tcW w:w="387"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2325" w:type="pct"/>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全部电缆孔洞应用有机防火材料封堵并做防水处理在电缆进出口应布防火隔墙，并在其上方的盖板上做红底白字的防火封堵的标记，防火墙应采纳PFB型电缆防火包。</w:t>
            </w:r>
          </w:p>
        </w:tc>
        <w:tc>
          <w:tcPr>
            <w:tcW w:w="7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06"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tblPrEx>
          <w:tblCellMar>
            <w:top w:w="0" w:type="dxa"/>
            <w:left w:w="0" w:type="dxa"/>
            <w:bottom w:w="0" w:type="dxa"/>
            <w:right w:w="0" w:type="dxa"/>
          </w:tblCellMar>
        </w:tblPrEx>
        <w:tc>
          <w:tcPr>
            <w:tcW w:w="874" w:type="pct"/>
            <w:vMerge w:val="restart"/>
            <w:tcBorders>
              <w:top w:val="single" w:color="000000" w:sz="4" w:space="0"/>
              <w:left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备注</w:t>
            </w:r>
          </w:p>
        </w:tc>
        <w:tc>
          <w:tcPr>
            <w:tcW w:w="4125" w:type="pct"/>
            <w:gridSpan w:val="4"/>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上表未列的内容，还应执行现行的国家标准、规范以及行业标准的有关规定。</w:t>
            </w:r>
          </w:p>
        </w:tc>
      </w:tr>
      <w:tr>
        <w:tblPrEx>
          <w:tblCellMar>
            <w:top w:w="0" w:type="dxa"/>
            <w:left w:w="0" w:type="dxa"/>
            <w:bottom w:w="0" w:type="dxa"/>
            <w:right w:w="0" w:type="dxa"/>
          </w:tblCellMar>
        </w:tblPrEx>
        <w:tc>
          <w:tcPr>
            <w:tcW w:w="874" w:type="pct"/>
            <w:vMerge w:val="continue"/>
            <w:tcBorders>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4125" w:type="pct"/>
            <w:gridSpan w:val="4"/>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sz w:val="21"/>
                <w:szCs w:val="21"/>
              </w:rPr>
            </w:pPr>
            <w:r>
              <w:rPr>
                <w:rFonts w:hint="eastAsia" w:ascii="宋体" w:hAnsi="宋体" w:eastAsia="宋体" w:cs="宋体"/>
                <w:color w:val="auto"/>
                <w:sz w:val="21"/>
                <w:szCs w:val="21"/>
              </w:rPr>
              <w:t>有“★”标注的为重点检查项，属重大安全隐患。</w:t>
            </w:r>
          </w:p>
        </w:tc>
      </w:tr>
      <w:tr>
        <w:tblPrEx>
          <w:tblCellMar>
            <w:top w:w="0" w:type="dxa"/>
            <w:left w:w="0" w:type="dxa"/>
            <w:bottom w:w="0" w:type="dxa"/>
            <w:right w:w="0" w:type="dxa"/>
          </w:tblCellMar>
        </w:tblPrEx>
        <w:tc>
          <w:tcPr>
            <w:tcW w:w="874" w:type="pct"/>
            <w:vMerge w:val="continue"/>
            <w:tcBorders>
              <w:left w:val="single" w:color="000000" w:sz="4" w:space="0"/>
              <w:bottom w:val="single" w:color="000000" w:sz="4" w:space="0"/>
              <w:right w:val="single" w:color="000000" w:sz="4" w:space="0"/>
            </w:tcBorders>
            <w:vAlign w:val="center"/>
          </w:tcPr>
          <w:p>
            <w:pPr>
              <w:pageBreakBefore w:val="0"/>
              <w:widowControl/>
              <w:kinsoku/>
              <w:overflowPunct/>
              <w:topLinePunct w:val="0"/>
              <w:bidi w:val="0"/>
              <w:jc w:val="center"/>
              <w:outlineLvl w:val="9"/>
              <w:rPr>
                <w:rFonts w:hint="eastAsia" w:ascii="宋体" w:hAnsi="宋体" w:eastAsia="宋体" w:cs="宋体"/>
                <w:color w:val="auto"/>
                <w:kern w:val="0"/>
                <w:sz w:val="21"/>
                <w:szCs w:val="21"/>
              </w:rPr>
            </w:pPr>
          </w:p>
        </w:tc>
        <w:tc>
          <w:tcPr>
            <w:tcW w:w="4125" w:type="pct"/>
            <w:gridSpan w:val="4"/>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rPr>
              <w:t>是否符合要求填写：“√”—合格；“×”—不合格；”/”—无该项目。</w:t>
            </w:r>
          </w:p>
        </w:tc>
      </w:tr>
    </w:tbl>
    <w:p>
      <w:pPr>
        <w:pageBreakBefore w:val="0"/>
        <w:kinsoku/>
        <w:overflowPunct/>
        <w:topLinePunct w:val="0"/>
        <w:bidi w:val="0"/>
        <w:spacing w:line="480" w:lineRule="auto"/>
        <w:outlineLvl w:val="1"/>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六、存在问题及整改计划</w:t>
      </w:r>
    </w:p>
    <w:tbl>
      <w:tblPr>
        <w:tblStyle w:val="13"/>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5010"/>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8"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5010"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存在问题</w:t>
            </w:r>
          </w:p>
        </w:tc>
        <w:tc>
          <w:tcPr>
            <w:tcW w:w="2595"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是否整改完成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8"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5010"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c>
          <w:tcPr>
            <w:tcW w:w="2595"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8"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5010"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c>
          <w:tcPr>
            <w:tcW w:w="2595"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8"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5010"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c>
          <w:tcPr>
            <w:tcW w:w="2595"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8"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5010"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lang w:val="en-US"/>
              </w:rPr>
            </w:pPr>
          </w:p>
        </w:tc>
        <w:tc>
          <w:tcPr>
            <w:tcW w:w="2595"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8"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5010"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c>
          <w:tcPr>
            <w:tcW w:w="2595"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8"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5010"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c>
          <w:tcPr>
            <w:tcW w:w="2595"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68"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5010"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lang w:val="en-US"/>
              </w:rPr>
            </w:pPr>
          </w:p>
        </w:tc>
        <w:tc>
          <w:tcPr>
            <w:tcW w:w="2595"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8"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5010"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c>
          <w:tcPr>
            <w:tcW w:w="2595"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8"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5010"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c>
          <w:tcPr>
            <w:tcW w:w="2595"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8"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5010"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c>
          <w:tcPr>
            <w:tcW w:w="2595"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8" w:type="dxa"/>
            <w:vAlign w:val="center"/>
          </w:tcPr>
          <w:p>
            <w:pPr>
              <w:pageBreakBefore w:val="0"/>
              <w:kinsoku/>
              <w:overflowPunct/>
              <w:topLinePunct w:val="0"/>
              <w:autoSpaceDE w:val="0"/>
              <w:autoSpaceDN w:val="0"/>
              <w:bidi w:val="0"/>
              <w:adjustRightInd w:val="0"/>
              <w:jc w:val="center"/>
              <w:outlineLvl w:val="9"/>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总结</w:t>
            </w:r>
          </w:p>
        </w:tc>
        <w:tc>
          <w:tcPr>
            <w:tcW w:w="7605" w:type="dxa"/>
            <w:gridSpan w:val="2"/>
          </w:tcPr>
          <w:p>
            <w:pPr>
              <w:keepNext w:val="0"/>
              <w:keepLines w:val="0"/>
              <w:pageBreakBefore w:val="0"/>
              <w:widowControl w:val="0"/>
              <w:kinsoku/>
              <w:wordWrap w:val="0"/>
              <w:overflowPunct/>
              <w:topLinePunct w:val="0"/>
              <w:autoSpaceDE/>
              <w:autoSpaceDN/>
              <w:bidi w:val="0"/>
              <w:adjustRightInd w:val="0"/>
              <w:snapToGrid w:val="0"/>
              <w:spacing w:before="313" w:beforeLines="100" w:after="20" w:line="360" w:lineRule="auto"/>
              <w:ind w:left="210" w:leftChars="100" w:right="210" w:rightChars="10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验收结论：</w:t>
            </w:r>
          </w:p>
          <w:p>
            <w:pPr>
              <w:pStyle w:val="2"/>
              <w:keepNext w:val="0"/>
              <w:keepLines w:val="0"/>
              <w:pageBreakBefore w:val="0"/>
              <w:widowControl w:val="0"/>
              <w:kinsoku/>
              <w:overflowPunct/>
              <w:topLinePunct w:val="0"/>
              <w:autoSpaceDE/>
              <w:autoSpaceDN/>
              <w:bidi w:val="0"/>
              <w:adjustRightInd w:val="0"/>
              <w:snapToGrid w:val="0"/>
              <w:spacing w:before="313" w:beforeLines="100" w:after="20" w:line="360" w:lineRule="auto"/>
              <w:ind w:left="210" w:leftChars="100" w:right="210" w:rightChars="100" w:firstLine="0" w:firstLineChars="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color w:val="auto"/>
                <w:sz w:val="21"/>
                <w:szCs w:val="21"/>
                <w:lang w:val="en-US" w:eastAsia="zh-CN"/>
              </w:rPr>
              <w:t>验收人员：</w:t>
            </w:r>
          </w:p>
        </w:tc>
      </w:tr>
    </w:tbl>
    <w:p>
      <w:pPr>
        <w:pageBreakBefore w:val="0"/>
        <w:kinsoku/>
        <w:overflowPunct/>
        <w:topLinePunct w:val="0"/>
        <w:bidi w:val="0"/>
        <w:spacing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填写要求：</w:t>
      </w:r>
    </w:p>
    <w:p>
      <w:pPr>
        <w:pageBreakBefore w:val="0"/>
        <w:kinsoku/>
        <w:overflowPunct/>
        <w:topLinePunct w:val="0"/>
        <w:bidi w:val="0"/>
        <w:spacing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1．“作业记录”：如正常则填写“√”、异常则填写“×”、无需执行则填写“/”；对“风险评估”栏目中对存在风险填写“√”，不存在风险则填写“×”；</w:t>
      </w:r>
    </w:p>
    <w:p>
      <w:pPr>
        <w:pageBreakBefore w:val="0"/>
        <w:kinsoku/>
        <w:overflowPunct/>
        <w:topLinePunct w:val="0"/>
        <w:bidi w:val="0"/>
        <w:spacing w:line="360" w:lineRule="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2．异常时必须填写“备注”，对异常情况进行详细描述；</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b/>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0A8DC"/>
    <w:multiLevelType w:val="singleLevel"/>
    <w:tmpl w:val="B580A8DC"/>
    <w:lvl w:ilvl="0" w:tentative="0">
      <w:start w:val="3"/>
      <w:numFmt w:val="chineseCounting"/>
      <w:suff w:val="nothing"/>
      <w:lvlText w:val="%1、"/>
      <w:lvlJc w:val="left"/>
      <w:rPr>
        <w:rFonts w:hint="eastAsia"/>
      </w:rPr>
    </w:lvl>
  </w:abstractNum>
  <w:abstractNum w:abstractNumId="1">
    <w:nsid w:val="0000001A"/>
    <w:multiLevelType w:val="multilevel"/>
    <w:tmpl w:val="0000001A"/>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23"/>
      <w:lvlText w:val="%1%2"/>
      <w:lvlJc w:val="left"/>
      <w:pPr>
        <w:tabs>
          <w:tab w:val="left" w:pos="360"/>
        </w:tabs>
        <w:ind w:left="0" w:firstLine="0"/>
      </w:pPr>
      <w:rPr>
        <w:rFonts w:hint="eastAsia" w:ascii="黑体" w:hAnsi="Times New Roman" w:eastAsia="黑体"/>
        <w:b/>
        <w:i w:val="0"/>
        <w:sz w:val="30"/>
        <w:szCs w:val="30"/>
      </w:rPr>
    </w:lvl>
    <w:lvl w:ilvl="2" w:tentative="0">
      <w:start w:val="1"/>
      <w:numFmt w:val="decimal"/>
      <w:pStyle w:val="22"/>
      <w:lvlText w:val="%1%2.%3"/>
      <w:lvlJc w:val="left"/>
      <w:pPr>
        <w:tabs>
          <w:tab w:val="left" w:pos="720"/>
        </w:tabs>
        <w:ind w:left="0" w:firstLine="0"/>
      </w:pPr>
      <w:rPr>
        <w:rFonts w:hint="eastAsia" w:ascii="黑体" w:hAnsi="Times New Roman" w:eastAsia="黑体"/>
        <w:b w:val="0"/>
        <w:i w:val="0"/>
        <w:sz w:val="30"/>
        <w:szCs w:val="30"/>
      </w:rPr>
    </w:lvl>
    <w:lvl w:ilvl="3" w:tentative="0">
      <w:start w:val="1"/>
      <w:numFmt w:val="decimal"/>
      <w:pStyle w:val="21"/>
      <w:lvlText w:val="%1%2.%3.%4"/>
      <w:lvlJc w:val="left"/>
      <w:pPr>
        <w:tabs>
          <w:tab w:val="left" w:pos="720"/>
        </w:tabs>
        <w:ind w:left="0" w:firstLine="0"/>
      </w:pPr>
      <w:rPr>
        <w:rFonts w:hint="eastAsia" w:ascii="黑体" w:hAnsi="Times New Roman" w:eastAsia="黑体"/>
        <w:b w:val="0"/>
        <w:i w:val="0"/>
        <w:sz w:val="30"/>
        <w:szCs w:val="30"/>
      </w:rPr>
    </w:lvl>
    <w:lvl w:ilvl="4" w:tentative="0">
      <w:start w:val="1"/>
      <w:numFmt w:val="decimal"/>
      <w:lvlText w:val="%2.%3.%4.%5"/>
      <w:lvlJc w:val="left"/>
      <w:pPr>
        <w:tabs>
          <w:tab w:val="left" w:pos="1080"/>
        </w:tabs>
        <w:ind w:left="0" w:firstLine="0"/>
      </w:pPr>
      <w:rPr>
        <w:rFonts w:hint="eastAsia" w:ascii="黑体" w:hAnsi="Times New Roman" w:eastAsia="黑体"/>
        <w:b w:val="0"/>
        <w:i w:val="0"/>
        <w:sz w:val="30"/>
        <w:szCs w:val="30"/>
      </w:rPr>
    </w:lvl>
    <w:lvl w:ilvl="5" w:tentative="0">
      <w:start w:val="1"/>
      <w:numFmt w:val="decimal"/>
      <w:lvlText w:val="%2.%3.%4.%5.%6"/>
      <w:lvlJc w:val="left"/>
      <w:pPr>
        <w:tabs>
          <w:tab w:val="left" w:pos="1021"/>
        </w:tabs>
        <w:ind w:left="1021" w:hanging="1021"/>
      </w:pPr>
      <w:rPr>
        <w:rFonts w:hint="eastAsia" w:ascii="黑体" w:hAnsi="Times New Roman" w:eastAsia="黑体"/>
        <w:b/>
        <w:i w:val="0"/>
        <w:sz w:val="30"/>
        <w:szCs w:val="30"/>
      </w:rPr>
    </w:lvl>
    <w:lvl w:ilvl="6" w:tentative="0">
      <w:start w:val="1"/>
      <w:numFmt w:val="decimal"/>
      <w:lvlRestart w:val="5"/>
      <w:lvlText w:val="%2.%3.%4.%5.%6.%7"/>
      <w:lvlJc w:val="left"/>
      <w:pPr>
        <w:tabs>
          <w:tab w:val="left" w:pos="1440"/>
        </w:tabs>
        <w:ind w:left="0" w:firstLine="0"/>
      </w:pPr>
      <w:rPr>
        <w:rFonts w:hint="eastAsia" w:ascii="黑体" w:hAnsi="Times New Roman" w:eastAsia="黑体"/>
        <w:b/>
        <w:i w:val="0"/>
        <w:sz w:val="30"/>
        <w:szCs w:val="30"/>
      </w:rPr>
    </w:lvl>
    <w:lvl w:ilvl="7" w:tentative="0">
      <w:start w:val="1"/>
      <w:numFmt w:val="decimal"/>
      <w:lvlRestart w:val="5"/>
      <w:lvlText w:val="图 %2.0.%5 -%8"/>
      <w:lvlJc w:val="left"/>
      <w:pPr>
        <w:tabs>
          <w:tab w:val="left" w:pos="1440"/>
        </w:tabs>
        <w:ind w:left="0" w:firstLine="0"/>
      </w:pPr>
      <w:rPr>
        <w:rFonts w:hint="eastAsia" w:ascii="黑体" w:eastAsia="黑体"/>
        <w:b/>
        <w:i w:val="0"/>
        <w:sz w:val="21"/>
      </w:rPr>
    </w:lvl>
    <w:lvl w:ilvl="8" w:tentative="0">
      <w:start w:val="1"/>
      <w:numFmt w:val="decimal"/>
      <w:lvlRestart w:val="6"/>
      <w:lvlText w:val="      %9)"/>
      <w:lvlJc w:val="left"/>
      <w:pPr>
        <w:tabs>
          <w:tab w:val="left" w:pos="1080"/>
        </w:tabs>
        <w:ind w:left="0" w:firstLine="0"/>
      </w:pPr>
      <w:rPr>
        <w:rFonts w:hint="eastAsia" w:ascii="黑体" w:hAnsi="华文细黑" w:eastAsia="黑体"/>
        <w:b/>
        <w:i w:val="0"/>
        <w:sz w:val="2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9E"/>
    <w:rsid w:val="000A6008"/>
    <w:rsid w:val="001117AA"/>
    <w:rsid w:val="00125C86"/>
    <w:rsid w:val="001E201E"/>
    <w:rsid w:val="001E2E5B"/>
    <w:rsid w:val="001F6E4D"/>
    <w:rsid w:val="0021412A"/>
    <w:rsid w:val="00243CBC"/>
    <w:rsid w:val="00265104"/>
    <w:rsid w:val="002718C8"/>
    <w:rsid w:val="00285358"/>
    <w:rsid w:val="00296742"/>
    <w:rsid w:val="00296C5F"/>
    <w:rsid w:val="00324166"/>
    <w:rsid w:val="003E1A2D"/>
    <w:rsid w:val="00414486"/>
    <w:rsid w:val="00424993"/>
    <w:rsid w:val="004507B1"/>
    <w:rsid w:val="004F357E"/>
    <w:rsid w:val="00571FF5"/>
    <w:rsid w:val="005F5C93"/>
    <w:rsid w:val="006029C9"/>
    <w:rsid w:val="00695D9E"/>
    <w:rsid w:val="006E3004"/>
    <w:rsid w:val="00794297"/>
    <w:rsid w:val="007D3D68"/>
    <w:rsid w:val="008343B7"/>
    <w:rsid w:val="00865CED"/>
    <w:rsid w:val="00882AE5"/>
    <w:rsid w:val="008A1D3D"/>
    <w:rsid w:val="0096526E"/>
    <w:rsid w:val="00A241A7"/>
    <w:rsid w:val="00A61E86"/>
    <w:rsid w:val="00BF07F5"/>
    <w:rsid w:val="00D60A88"/>
    <w:rsid w:val="00E445AD"/>
    <w:rsid w:val="02630476"/>
    <w:rsid w:val="043318D1"/>
    <w:rsid w:val="06F45B23"/>
    <w:rsid w:val="09E635F5"/>
    <w:rsid w:val="0D002289"/>
    <w:rsid w:val="0DBA7BEC"/>
    <w:rsid w:val="0E366A95"/>
    <w:rsid w:val="1095504B"/>
    <w:rsid w:val="129C79EC"/>
    <w:rsid w:val="12D4797F"/>
    <w:rsid w:val="146A11D9"/>
    <w:rsid w:val="173B442F"/>
    <w:rsid w:val="174310FF"/>
    <w:rsid w:val="18FC1292"/>
    <w:rsid w:val="1A465D95"/>
    <w:rsid w:val="1D381AFD"/>
    <w:rsid w:val="1F6F1A9A"/>
    <w:rsid w:val="21D40B0E"/>
    <w:rsid w:val="2A7E022B"/>
    <w:rsid w:val="2AB21898"/>
    <w:rsid w:val="2D3B7BC3"/>
    <w:rsid w:val="312F546F"/>
    <w:rsid w:val="3346410F"/>
    <w:rsid w:val="355F7AB3"/>
    <w:rsid w:val="3CFF2846"/>
    <w:rsid w:val="3D266EB0"/>
    <w:rsid w:val="3D323828"/>
    <w:rsid w:val="3D6A0908"/>
    <w:rsid w:val="3E7869A3"/>
    <w:rsid w:val="4066030E"/>
    <w:rsid w:val="412C009C"/>
    <w:rsid w:val="424A22FF"/>
    <w:rsid w:val="444C4E92"/>
    <w:rsid w:val="45AF3D13"/>
    <w:rsid w:val="4C97345A"/>
    <w:rsid w:val="4EFA6792"/>
    <w:rsid w:val="4F924C58"/>
    <w:rsid w:val="517A40C9"/>
    <w:rsid w:val="52101EB5"/>
    <w:rsid w:val="535B788C"/>
    <w:rsid w:val="53E2484A"/>
    <w:rsid w:val="549E376C"/>
    <w:rsid w:val="561C1764"/>
    <w:rsid w:val="5842740D"/>
    <w:rsid w:val="5E410F24"/>
    <w:rsid w:val="5FEC776F"/>
    <w:rsid w:val="627067A0"/>
    <w:rsid w:val="645402A0"/>
    <w:rsid w:val="664E191D"/>
    <w:rsid w:val="66F127F8"/>
    <w:rsid w:val="693A3AAF"/>
    <w:rsid w:val="6ECD5CD6"/>
    <w:rsid w:val="6F5347BC"/>
    <w:rsid w:val="73352CAB"/>
    <w:rsid w:val="75B72835"/>
    <w:rsid w:val="75DC1A07"/>
    <w:rsid w:val="75F13DAA"/>
    <w:rsid w:val="77F344ED"/>
    <w:rsid w:val="7B6C1CD4"/>
    <w:rsid w:val="7D5F6492"/>
    <w:rsid w:val="7F3E0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7"/>
    <w:qFormat/>
    <w:uiPriority w:val="0"/>
    <w:pPr>
      <w:keepNext/>
      <w:keepLines/>
      <w:spacing w:before="260" w:after="260" w:line="413" w:lineRule="auto"/>
      <w:outlineLvl w:val="1"/>
    </w:pPr>
    <w:rPr>
      <w:rFonts w:ascii="Arial" w:hAnsi="Arial" w:eastAsia="黑体" w:cs="Times New Roman"/>
      <w:b/>
      <w:sz w:val="32"/>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3"/>
    <w:next w:val="3"/>
    <w:unhideWhenUsed/>
    <w:qFormat/>
    <w:uiPriority w:val="99"/>
    <w:pPr>
      <w:tabs>
        <w:tab w:val="left" w:pos="8306"/>
      </w:tabs>
      <w:spacing w:after="120"/>
    </w:pPr>
  </w:style>
  <w:style w:type="paragraph" w:styleId="3">
    <w:name w:val="Title"/>
    <w:basedOn w:val="1"/>
    <w:next w:val="1"/>
    <w:qFormat/>
    <w:uiPriority w:val="10"/>
    <w:pPr>
      <w:tabs>
        <w:tab w:val="left" w:pos="8306"/>
      </w:tabs>
      <w:adjustRightInd w:val="0"/>
      <w:snapToGrid w:val="0"/>
      <w:spacing w:line="560" w:lineRule="exact"/>
      <w:ind w:left="204" w:leftChars="-415" w:right="73" w:rightChars="35" w:hanging="1075" w:hangingChars="224"/>
      <w:jc w:val="right"/>
    </w:pPr>
    <w:rPr>
      <w:rFonts w:ascii="方正小标宋_GBK" w:hAnsi="方正小标宋_GBK" w:eastAsia="方正小标宋_GBK" w:cs="方正小标宋_GBK"/>
      <w:b/>
      <w:sz w:val="48"/>
      <w:szCs w:val="48"/>
    </w:rPr>
  </w:style>
  <w:style w:type="paragraph" w:styleId="6">
    <w:name w:val="caption"/>
    <w:basedOn w:val="1"/>
    <w:next w:val="1"/>
    <w:unhideWhenUsed/>
    <w:qFormat/>
    <w:uiPriority w:val="35"/>
    <w:pPr>
      <w:spacing w:before="62" w:beforeLines="20"/>
      <w:jc w:val="center"/>
    </w:pPr>
    <w:rPr>
      <w:rFonts w:eastAsiaTheme="majorEastAsia" w:cstheme="minorEastAsia"/>
      <w:sz w:val="18"/>
      <w:szCs w:val="20"/>
    </w:rPr>
  </w:style>
  <w:style w:type="paragraph" w:styleId="7">
    <w:name w:val="Document Map"/>
    <w:basedOn w:val="1"/>
    <w:link w:val="29"/>
    <w:unhideWhenUsed/>
    <w:qFormat/>
    <w:uiPriority w:val="99"/>
    <w:rPr>
      <w:rFonts w:ascii="宋体" w:eastAsia="宋体"/>
      <w:sz w:val="18"/>
      <w:szCs w:val="18"/>
    </w:rPr>
  </w:style>
  <w:style w:type="paragraph" w:styleId="8">
    <w:name w:val="Date"/>
    <w:basedOn w:val="1"/>
    <w:next w:val="1"/>
    <w:link w:val="26"/>
    <w:unhideWhenUsed/>
    <w:qFormat/>
    <w:uiPriority w:val="99"/>
    <w:pPr>
      <w:ind w:left="100" w:leftChars="2500"/>
    </w:pPr>
  </w:style>
  <w:style w:type="paragraph" w:styleId="9">
    <w:name w:val="footer"/>
    <w:basedOn w:val="1"/>
    <w:link w:val="19"/>
    <w:unhideWhenUsed/>
    <w:qFormat/>
    <w:uiPriority w:val="0"/>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9118"/>
      </w:tabs>
      <w:adjustRightInd w:val="0"/>
      <w:spacing w:line="300" w:lineRule="auto"/>
      <w:jc w:val="left"/>
      <w:textAlignment w:val="baseline"/>
    </w:pPr>
    <w:rPr>
      <w:rFonts w:ascii="黑体" w:eastAsia="黑体"/>
      <w:caps/>
      <w:kern w:val="0"/>
      <w:sz w:val="30"/>
      <w:szCs w:val="20"/>
    </w:rPr>
  </w:style>
  <w:style w:type="paragraph" w:styleId="12">
    <w:name w:val="toc 2"/>
    <w:basedOn w:val="1"/>
    <w:next w:val="1"/>
    <w:unhideWhenUsed/>
    <w:qFormat/>
    <w:uiPriority w:val="39"/>
    <w:pPr>
      <w:ind w:left="420" w:left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列出段落1"/>
    <w:basedOn w:val="1"/>
    <w:qFormat/>
    <w:uiPriority w:val="34"/>
    <w:pPr>
      <w:ind w:firstLine="420"/>
    </w:pPr>
  </w:style>
  <w:style w:type="character" w:customStyle="1" w:styleId="18">
    <w:name w:val="页眉 字符"/>
    <w:basedOn w:val="15"/>
    <w:link w:val="10"/>
    <w:semiHidden/>
    <w:qFormat/>
    <w:uiPriority w:val="99"/>
    <w:rPr>
      <w:sz w:val="18"/>
      <w:szCs w:val="18"/>
    </w:rPr>
  </w:style>
  <w:style w:type="character" w:customStyle="1" w:styleId="19">
    <w:name w:val="页脚 字符"/>
    <w:basedOn w:val="15"/>
    <w:link w:val="9"/>
    <w:semiHidden/>
    <w:qFormat/>
    <w:uiPriority w:val="99"/>
    <w:rPr>
      <w:sz w:val="18"/>
      <w:szCs w:val="18"/>
    </w:rPr>
  </w:style>
  <w:style w:type="paragraph" w:customStyle="1" w:styleId="20">
    <w:name w:val="CM28"/>
    <w:basedOn w:val="1"/>
    <w:next w:val="1"/>
    <w:qFormat/>
    <w:uiPriority w:val="99"/>
    <w:pPr>
      <w:autoSpaceDE w:val="0"/>
      <w:autoSpaceDN w:val="0"/>
      <w:adjustRightInd w:val="0"/>
      <w:spacing w:after="698"/>
      <w:jc w:val="left"/>
    </w:pPr>
    <w:rPr>
      <w:rFonts w:ascii="黑体" w:hAnsi="Calibri" w:eastAsia="黑体" w:cs="Times New Roman"/>
      <w:kern w:val="0"/>
      <w:sz w:val="24"/>
    </w:rPr>
  </w:style>
  <w:style w:type="paragraph" w:customStyle="1" w:styleId="21">
    <w:name w:val="二级条标题"/>
    <w:basedOn w:val="22"/>
    <w:next w:val="24"/>
    <w:qFormat/>
    <w:uiPriority w:val="0"/>
    <w:pPr>
      <w:numPr>
        <w:ilvl w:val="3"/>
      </w:numPr>
      <w:tabs>
        <w:tab w:val="left" w:pos="360"/>
        <w:tab w:val="left" w:pos="420"/>
        <w:tab w:val="left" w:pos="525"/>
      </w:tabs>
      <w:outlineLvl w:val="3"/>
    </w:pPr>
  </w:style>
  <w:style w:type="paragraph" w:customStyle="1" w:styleId="22">
    <w:name w:val="一级条标题"/>
    <w:basedOn w:val="23"/>
    <w:next w:val="24"/>
    <w:qFormat/>
    <w:uiPriority w:val="0"/>
    <w:pPr>
      <w:numPr>
        <w:ilvl w:val="2"/>
      </w:numPr>
      <w:tabs>
        <w:tab w:val="left" w:pos="360"/>
        <w:tab w:val="left" w:pos="420"/>
        <w:tab w:val="left" w:pos="525"/>
      </w:tabs>
      <w:spacing w:beforeLines="0" w:afterLines="0"/>
      <w:outlineLvl w:val="2"/>
    </w:pPr>
    <w:rPr>
      <w:b w:val="0"/>
    </w:rPr>
  </w:style>
  <w:style w:type="paragraph" w:customStyle="1" w:styleId="23">
    <w:name w:val="章标题"/>
    <w:next w:val="24"/>
    <w:qFormat/>
    <w:uiPriority w:val="0"/>
    <w:pPr>
      <w:numPr>
        <w:ilvl w:val="1"/>
        <w:numId w:val="1"/>
      </w:numPr>
      <w:tabs>
        <w:tab w:val="left" w:pos="420"/>
      </w:tabs>
      <w:spacing w:beforeLines="50" w:afterLines="50"/>
      <w:jc w:val="both"/>
      <w:outlineLvl w:val="1"/>
    </w:pPr>
    <w:rPr>
      <w:rFonts w:ascii="黑体" w:hAnsi="Times New Roman" w:eastAsia="黑体" w:cs="Times New Roman"/>
      <w:b/>
      <w:sz w:val="24"/>
      <w:lang w:val="en-US" w:eastAsia="zh-CN" w:bidi="ar-SA"/>
    </w:rPr>
  </w:style>
  <w:style w:type="paragraph" w:customStyle="1" w:styleId="24">
    <w:name w:val="段"/>
    <w:qFormat/>
    <w:uiPriority w:val="0"/>
    <w:pPr>
      <w:ind w:firstLine="200" w:firstLineChars="200"/>
      <w:jc w:val="both"/>
    </w:pPr>
    <w:rPr>
      <w:rFonts w:ascii="宋体" w:hAnsi="Calibri" w:eastAsia="宋体" w:cs="Times New Roman"/>
      <w:sz w:val="21"/>
      <w:lang w:val="en-US" w:eastAsia="zh-CN" w:bidi="ar-SA"/>
    </w:rPr>
  </w:style>
  <w:style w:type="paragraph" w:customStyle="1" w:styleId="25">
    <w:name w:val="目次、标准名称标题"/>
    <w:basedOn w:val="1"/>
    <w:next w:val="24"/>
    <w:qFormat/>
    <w:uiPriority w:val="0"/>
    <w:pPr>
      <w:widowControl/>
      <w:shd w:val="clear" w:color="FFFFFF" w:fill="FFFFFF"/>
      <w:spacing w:before="640" w:after="560" w:line="460" w:lineRule="exact"/>
      <w:jc w:val="center"/>
    </w:pPr>
    <w:rPr>
      <w:rFonts w:ascii="黑体" w:hAnsi="Calibri" w:eastAsia="黑体" w:cs="Times New Roman"/>
      <w:b/>
      <w:kern w:val="0"/>
      <w:sz w:val="32"/>
      <w:szCs w:val="20"/>
    </w:rPr>
  </w:style>
  <w:style w:type="character" w:customStyle="1" w:styleId="26">
    <w:name w:val="日期 字符"/>
    <w:basedOn w:val="15"/>
    <w:link w:val="8"/>
    <w:semiHidden/>
    <w:qFormat/>
    <w:uiPriority w:val="99"/>
    <w:rPr>
      <w:rFonts w:asciiTheme="minorHAnsi" w:hAnsiTheme="minorHAnsi" w:eastAsiaTheme="minorEastAsia" w:cstheme="minorBidi"/>
      <w:kern w:val="2"/>
      <w:sz w:val="21"/>
      <w:szCs w:val="22"/>
    </w:rPr>
  </w:style>
  <w:style w:type="character" w:customStyle="1" w:styleId="27">
    <w:name w:val="标题 2 字符"/>
    <w:basedOn w:val="15"/>
    <w:link w:val="5"/>
    <w:qFormat/>
    <w:uiPriority w:val="0"/>
    <w:rPr>
      <w:rFonts w:ascii="Arial" w:hAnsi="Arial" w:eastAsia="黑体"/>
      <w:b/>
      <w:kern w:val="2"/>
      <w:sz w:val="32"/>
      <w:szCs w:val="24"/>
    </w:rPr>
  </w:style>
  <w:style w:type="paragraph" w:customStyle="1" w:styleId="28">
    <w:name w:val="列出段落2"/>
    <w:basedOn w:val="1"/>
    <w:unhideWhenUsed/>
    <w:qFormat/>
    <w:uiPriority w:val="99"/>
    <w:pPr>
      <w:ind w:firstLine="420" w:firstLineChars="200"/>
    </w:pPr>
  </w:style>
  <w:style w:type="character" w:customStyle="1" w:styleId="29">
    <w:name w:val="文档结构图 字符"/>
    <w:basedOn w:val="15"/>
    <w:link w:val="7"/>
    <w:semiHidden/>
    <w:qFormat/>
    <w:uiPriority w:val="99"/>
    <w:rPr>
      <w:rFonts w:ascii="宋体" w:hAnsiTheme="minorHAnsi" w:cstheme="minorBidi"/>
      <w:kern w:val="2"/>
      <w:sz w:val="18"/>
      <w:szCs w:val="18"/>
    </w:rPr>
  </w:style>
  <w:style w:type="paragraph" w:customStyle="1" w:styleId="30">
    <w:name w:val="二级标题"/>
    <w:basedOn w:val="31"/>
    <w:qFormat/>
    <w:uiPriority w:val="0"/>
    <w:pPr>
      <w:spacing w:before="62" w:beforeLines="20" w:line="400" w:lineRule="exact"/>
      <w:outlineLvl w:val="1"/>
    </w:pPr>
    <w:rPr>
      <w:sz w:val="21"/>
      <w:szCs w:val="21"/>
    </w:rPr>
  </w:style>
  <w:style w:type="paragraph" w:customStyle="1" w:styleId="31">
    <w:name w:val="一级标题"/>
    <w:basedOn w:val="4"/>
    <w:qFormat/>
    <w:uiPriority w:val="0"/>
  </w:style>
  <w:style w:type="paragraph" w:customStyle="1" w:styleId="32">
    <w:name w:val="三级文字"/>
    <w:basedOn w:val="31"/>
    <w:qFormat/>
    <w:uiPriority w:val="0"/>
    <w:pPr>
      <w:spacing w:before="46" w:beforeLines="15" w:line="400" w:lineRule="exact"/>
      <w:outlineLvl w:val="9"/>
    </w:pPr>
    <w:rPr>
      <w:b w:val="0"/>
      <w:bCs w:val="0"/>
      <w:sz w:val="21"/>
      <w:szCs w:val="21"/>
    </w:rPr>
  </w:style>
  <w:style w:type="paragraph" w:customStyle="1" w:styleId="33">
    <w:name w:val="表格标题"/>
    <w:basedOn w:val="6"/>
    <w:qFormat/>
    <w:uiPriority w:val="0"/>
    <w:pPr>
      <w:spacing w:before="0" w:beforeLines="0"/>
    </w:pPr>
    <w:rPr>
      <w:b/>
      <w:bCs/>
    </w:rPr>
  </w:style>
  <w:style w:type="paragraph" w:customStyle="1" w:styleId="34">
    <w:name w:val="表格文字"/>
    <w:basedOn w:val="1"/>
    <w:qFormat/>
    <w:uiPriority w:val="0"/>
    <w:pPr>
      <w:tabs>
        <w:tab w:val="left" w:pos="709"/>
      </w:tabs>
      <w:snapToGrid w:val="0"/>
      <w:spacing w:before="64" w:after="64"/>
      <w:jc w:val="center"/>
    </w:pPr>
    <w:rPr>
      <w:rFonts w:cstheme="minorEastAsia"/>
      <w:sz w:val="18"/>
      <w:szCs w:val="20"/>
    </w:rPr>
  </w:style>
  <w:style w:type="paragraph" w:customStyle="1" w:styleId="35">
    <w:name w:val="无序号正文"/>
    <w:basedOn w:val="1"/>
    <w:qFormat/>
    <w:uiPriority w:val="0"/>
    <w:pPr>
      <w:spacing w:line="400" w:lineRule="exact"/>
      <w:ind w:firstLine="420" w:firstLineChars="200"/>
    </w:pPr>
    <w:rPr>
      <w:rFonts w:cstheme="minorEastAs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AD56-DA35-4F4F-9CFD-E0310785342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735</Words>
  <Characters>4191</Characters>
  <Lines>34</Lines>
  <Paragraphs>9</Paragraphs>
  <TotalTime>148</TotalTime>
  <ScaleCrop>false</ScaleCrop>
  <LinksUpToDate>false</LinksUpToDate>
  <CharactersWithSpaces>4917</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2022-10-18T03:31:00Z</dcterms:created>
  <dc:creator>廖海坤</dc:creator>
  <cp:lastModifiedBy>NTKO</cp:lastModifiedBy>
  <cp:lastPrinted>2019-08-30T07:37:00Z</cp:lastPrinted>
  <dcterms:modified xsi:type="dcterms:W3CDTF">2023-07-03T06:20:30Z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461CC655E2584322A87C1DDA5EF654B6</vt:lpwstr>
  </property>
</Properties>
</file>